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35A157C"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w:t>
      </w:r>
      <w:r w:rsidR="00E17D7F">
        <w:rPr>
          <w:rFonts w:asciiTheme="minorHAnsi" w:hAnsiTheme="minorHAnsi"/>
          <w:bCs/>
          <w:sz w:val="28"/>
        </w:rPr>
        <w:t>100-e</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E17D7F">
        <w:rPr>
          <w:rFonts w:asciiTheme="minorHAnsi" w:hAnsiTheme="minorHAnsi"/>
          <w:bCs/>
          <w:sz w:val="28"/>
          <w:szCs w:val="24"/>
          <w:lang w:val="en-US" w:eastAsia="zh-TW"/>
        </w:rPr>
        <w:t xml:space="preserve">   </w:t>
      </w:r>
      <w:r w:rsidR="00746224" w:rsidRPr="00A839FE">
        <w:rPr>
          <w:rFonts w:asciiTheme="minorHAnsi" w:hAnsiTheme="minorHAnsi"/>
          <w:bCs/>
          <w:sz w:val="28"/>
        </w:rPr>
        <w:t>R1-</w:t>
      </w:r>
      <w:r w:rsidR="00E17D7F">
        <w:rPr>
          <w:rFonts w:asciiTheme="minorHAnsi" w:hAnsiTheme="minorHAnsi"/>
          <w:bCs/>
          <w:sz w:val="28"/>
        </w:rPr>
        <w:t>2001141</w:t>
      </w:r>
    </w:p>
    <w:p w14:paraId="1936A3C1" w14:textId="5EE5B155" w:rsidR="00650DDA" w:rsidRPr="00A839FE" w:rsidRDefault="00E17D7F" w:rsidP="00650DDA">
      <w:pPr>
        <w:tabs>
          <w:tab w:val="center" w:pos="4536"/>
          <w:tab w:val="right" w:pos="9072"/>
        </w:tabs>
        <w:rPr>
          <w:rFonts w:asciiTheme="minorHAnsi" w:eastAsia="新細明體" w:hAnsiTheme="minorHAnsi"/>
          <w:b/>
          <w:bCs/>
          <w:noProof/>
          <w:sz w:val="28"/>
          <w:szCs w:val="20"/>
          <w:lang w:eastAsia="en-US"/>
        </w:rPr>
      </w:pPr>
      <w:r>
        <w:rPr>
          <w:rFonts w:asciiTheme="minorHAnsi" w:eastAsia="新細明體" w:hAnsiTheme="minorHAnsi"/>
          <w:b/>
          <w:bCs/>
          <w:noProof/>
          <w:sz w:val="28"/>
          <w:szCs w:val="20"/>
          <w:lang w:eastAsia="en-US"/>
        </w:rPr>
        <w:t>February</w:t>
      </w:r>
      <w:r w:rsidR="00263E70" w:rsidRPr="00A839FE">
        <w:rPr>
          <w:rFonts w:asciiTheme="minorHAnsi" w:eastAsia="新細明體" w:hAnsiTheme="minorHAnsi"/>
          <w:b/>
          <w:bCs/>
          <w:noProof/>
          <w:sz w:val="28"/>
          <w:szCs w:val="20"/>
          <w:lang w:eastAsia="en-US"/>
        </w:rPr>
        <w:t xml:space="preserve"> </w:t>
      </w:r>
      <w:r>
        <w:rPr>
          <w:rFonts w:asciiTheme="minorHAnsi" w:eastAsia="新細明體" w:hAnsiTheme="minorHAnsi"/>
          <w:b/>
          <w:bCs/>
          <w:noProof/>
          <w:sz w:val="28"/>
          <w:szCs w:val="20"/>
          <w:lang w:eastAsia="en-US"/>
        </w:rPr>
        <w:t>24</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w:t>
      </w:r>
      <w:r>
        <w:rPr>
          <w:rFonts w:asciiTheme="minorHAnsi" w:eastAsia="新細明體" w:hAnsiTheme="minorHAnsi"/>
          <w:b/>
          <w:bCs/>
          <w:noProof/>
          <w:sz w:val="28"/>
          <w:szCs w:val="20"/>
          <w:lang w:eastAsia="en-US"/>
        </w:rPr>
        <w:t>March 6</w:t>
      </w:r>
      <w:r w:rsidR="00AB6D7D"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w:t>
      </w:r>
      <w:r>
        <w:rPr>
          <w:rFonts w:asciiTheme="minorHAnsi" w:eastAsia="新細明體" w:hAnsiTheme="minorHAnsi"/>
          <w:b/>
          <w:bCs/>
          <w:noProof/>
          <w:sz w:val="28"/>
          <w:szCs w:val="20"/>
          <w:lang w:eastAsia="en-US"/>
        </w:rPr>
        <w:t>20</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692F284D"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w:t>
      </w:r>
      <w:r w:rsidR="00E17D7F">
        <w:rPr>
          <w:rFonts w:asciiTheme="minorHAnsi" w:hAnsiTheme="minorHAnsi"/>
          <w:bCs/>
          <w:sz w:val="28"/>
          <w:szCs w:val="24"/>
          <w:lang w:val="en-US" w:eastAsia="zh-TW"/>
        </w:rPr>
        <w:t>7</w:t>
      </w:r>
      <w:r w:rsidRPr="00A839FE">
        <w:rPr>
          <w:rFonts w:asciiTheme="minorHAnsi" w:hAnsiTheme="minorHAnsi"/>
          <w:bCs/>
          <w:sz w:val="28"/>
          <w:szCs w:val="24"/>
          <w:lang w:val="en-US" w:eastAsia="zh-TW"/>
        </w:rPr>
        <w:t>.2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731440F8"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E17D7F" w:rsidRPr="00E17D7F">
        <w:rPr>
          <w:rFonts w:asciiTheme="minorHAnsi" w:hAnsiTheme="minorHAnsi"/>
          <w:sz w:val="28"/>
          <w:szCs w:val="24"/>
          <w:lang w:eastAsia="zh-TW"/>
        </w:rPr>
        <w:t xml:space="preserve">Summary#1 for </w:t>
      </w:r>
      <w:r w:rsidR="004C664B">
        <w:rPr>
          <w:rFonts w:asciiTheme="minorHAnsi" w:hAnsiTheme="minorHAnsi"/>
          <w:sz w:val="28"/>
          <w:szCs w:val="24"/>
          <w:lang w:eastAsia="zh-TW"/>
        </w:rPr>
        <w:t>C</w:t>
      </w:r>
      <w:r w:rsidR="00E17D7F" w:rsidRPr="00E17D7F">
        <w:rPr>
          <w:rFonts w:asciiTheme="minorHAnsi" w:hAnsiTheme="minorHAnsi"/>
          <w:sz w:val="28"/>
          <w:szCs w:val="24"/>
          <w:lang w:eastAsia="zh-TW"/>
        </w:rPr>
        <w:t>ross-</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lot </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cheduling </w:t>
      </w:r>
      <w:r w:rsidR="004C664B">
        <w:rPr>
          <w:rFonts w:asciiTheme="minorHAnsi" w:hAnsiTheme="minorHAnsi"/>
          <w:sz w:val="28"/>
          <w:szCs w:val="24"/>
          <w:lang w:eastAsia="zh-TW"/>
        </w:rPr>
        <w:t>P</w:t>
      </w:r>
      <w:r w:rsidR="00E17D7F" w:rsidRPr="00E17D7F">
        <w:rPr>
          <w:rFonts w:asciiTheme="minorHAnsi" w:hAnsiTheme="minorHAnsi"/>
          <w:sz w:val="28"/>
          <w:szCs w:val="24"/>
          <w:lang w:eastAsia="zh-TW"/>
        </w:rPr>
        <w:t xml:space="preserve">ower </w:t>
      </w:r>
      <w:r w:rsidR="004C664B">
        <w:rPr>
          <w:rFonts w:asciiTheme="minorHAnsi" w:hAnsiTheme="minorHAnsi"/>
          <w:sz w:val="28"/>
          <w:szCs w:val="24"/>
          <w:lang w:eastAsia="zh-TW"/>
        </w:rPr>
        <w:t>S</w:t>
      </w:r>
      <w:r w:rsidR="00E17D7F" w:rsidRPr="00E17D7F">
        <w:rPr>
          <w:rFonts w:asciiTheme="minorHAnsi" w:hAnsiTheme="minorHAnsi"/>
          <w:sz w:val="28"/>
          <w:szCs w:val="24"/>
          <w:lang w:eastAsia="zh-TW"/>
        </w:rPr>
        <w:t xml:space="preserve">aving </w:t>
      </w:r>
      <w:r w:rsidR="004C664B">
        <w:rPr>
          <w:rFonts w:asciiTheme="minorHAnsi" w:hAnsiTheme="minorHAnsi"/>
          <w:sz w:val="28"/>
          <w:szCs w:val="24"/>
          <w:lang w:eastAsia="zh-TW"/>
        </w:rPr>
        <w:t>T</w:t>
      </w:r>
      <w:r w:rsidR="00E17D7F" w:rsidRPr="00E17D7F">
        <w:rPr>
          <w:rFonts w:asciiTheme="minorHAnsi" w:hAnsiTheme="minorHAnsi"/>
          <w:sz w:val="28"/>
          <w:szCs w:val="24"/>
          <w:lang w:eastAsia="zh-TW"/>
        </w:rPr>
        <w:t>echniques</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5EA18BB8" w14:textId="7393E539" w:rsidR="0099114F" w:rsidRDefault="00E17D7F">
      <w:pPr>
        <w:rPr>
          <w:rFonts w:asciiTheme="minorHAnsi" w:hAnsiTheme="minorHAnsi"/>
        </w:rPr>
      </w:pPr>
      <w:r w:rsidRPr="00E17D7F">
        <w:rPr>
          <w:rFonts w:asciiTheme="minorHAnsi" w:hAnsiTheme="minorHAnsi"/>
        </w:rPr>
        <w:t xml:space="preserve">In this </w:t>
      </w:r>
      <w:r>
        <w:rPr>
          <w:rFonts w:asciiTheme="minorHAnsi" w:hAnsiTheme="minorHAnsi"/>
        </w:rPr>
        <w:t>contribution, email discussion topics are proposed based on the contributions related to Rel-16 cross-slot scheduling adaptation</w:t>
      </w:r>
      <w:r w:rsidR="004C664B">
        <w:rPr>
          <w:rFonts w:asciiTheme="minorHAnsi" w:hAnsiTheme="minorHAnsi"/>
        </w:rPr>
        <w:t xml:space="preserve"> </w:t>
      </w:r>
      <w:r w:rsidR="004C664B">
        <w:rPr>
          <w:rFonts w:asciiTheme="minorHAnsi" w:hAnsiTheme="minorHAnsi"/>
        </w:rPr>
        <w:fldChar w:fldCharType="begin"/>
      </w:r>
      <w:r w:rsidR="004C664B">
        <w:rPr>
          <w:rFonts w:asciiTheme="minorHAnsi" w:hAnsiTheme="minorHAnsi"/>
        </w:rPr>
        <w:instrText xml:space="preserve"> REF _Ref32919057 \r \h </w:instrText>
      </w:r>
      <w:r w:rsidR="004C664B">
        <w:rPr>
          <w:rFonts w:asciiTheme="minorHAnsi" w:hAnsiTheme="minorHAnsi"/>
        </w:rPr>
      </w:r>
      <w:r w:rsidR="004C664B">
        <w:rPr>
          <w:rFonts w:asciiTheme="minorHAnsi" w:hAnsiTheme="minorHAnsi"/>
        </w:rPr>
        <w:fldChar w:fldCharType="separate"/>
      </w:r>
      <w:r w:rsidR="004C664B">
        <w:rPr>
          <w:rFonts w:asciiTheme="minorHAnsi" w:hAnsiTheme="minorHAnsi"/>
        </w:rPr>
        <w:t>[1]</w:t>
      </w:r>
      <w:r w:rsidR="004C664B">
        <w:rPr>
          <w:rFonts w:asciiTheme="minorHAnsi" w:hAnsiTheme="minorHAnsi"/>
        </w:rPr>
        <w:fldChar w:fldCharType="end"/>
      </w:r>
      <w:r w:rsidR="004C664B">
        <w:rPr>
          <w:rFonts w:asciiTheme="minorHAnsi" w:hAnsiTheme="minorHAnsi"/>
        </w:rPr>
        <w:t xml:space="preserve"> - </w:t>
      </w:r>
      <w:r w:rsidR="004C664B">
        <w:rPr>
          <w:rFonts w:asciiTheme="minorHAnsi" w:hAnsiTheme="minorHAnsi"/>
        </w:rPr>
        <w:fldChar w:fldCharType="begin"/>
      </w:r>
      <w:r w:rsidR="004C664B">
        <w:rPr>
          <w:rFonts w:asciiTheme="minorHAnsi" w:hAnsiTheme="minorHAnsi"/>
        </w:rPr>
        <w:instrText xml:space="preserve"> REF _Ref32919060 \r \h </w:instrText>
      </w:r>
      <w:r w:rsidR="004C664B">
        <w:rPr>
          <w:rFonts w:asciiTheme="minorHAnsi" w:hAnsiTheme="minorHAnsi"/>
        </w:rPr>
      </w:r>
      <w:r w:rsidR="004C664B">
        <w:rPr>
          <w:rFonts w:asciiTheme="minorHAnsi" w:hAnsiTheme="minorHAnsi"/>
        </w:rPr>
        <w:fldChar w:fldCharType="separate"/>
      </w:r>
      <w:r w:rsidR="004C664B">
        <w:rPr>
          <w:rFonts w:asciiTheme="minorHAnsi" w:hAnsiTheme="minorHAnsi"/>
        </w:rPr>
        <w:t>[16]</w:t>
      </w:r>
      <w:r w:rsidR="004C664B">
        <w:rPr>
          <w:rFonts w:asciiTheme="minorHAnsi" w:hAnsiTheme="minorHAnsi"/>
        </w:rPr>
        <w:fldChar w:fldCharType="end"/>
      </w:r>
      <w:r>
        <w:rPr>
          <w:rFonts w:asciiTheme="minorHAnsi" w:hAnsiTheme="minorHAnsi"/>
        </w:rPr>
        <w:t>. In particular, there suggest three email threads below:</w:t>
      </w:r>
    </w:p>
    <w:p w14:paraId="65B56813" w14:textId="101628E3" w:rsidR="00E17D7F" w:rsidRPr="00E17D7F" w:rsidRDefault="00E17D7F" w:rsidP="00E17D7F">
      <w:pPr>
        <w:ind w:firstLine="284"/>
        <w:rPr>
          <w:rFonts w:asciiTheme="minorHAnsi" w:hAnsiTheme="minorHAnsi"/>
          <w:color w:val="0000FF"/>
        </w:rPr>
      </w:pPr>
      <w:r w:rsidRPr="00E17D7F">
        <w:rPr>
          <w:color w:val="0000FF"/>
          <w:lang w:val="en-GB" w:eastAsia="en-US"/>
        </w:rPr>
        <w:t>[100e-Pre-NR-</w:t>
      </w:r>
      <w:r w:rsidRPr="00E17D7F">
        <w:rPr>
          <w:color w:val="0000FF"/>
          <w:lang w:val="en-GB" w:eastAsia="en-US"/>
        </w:rPr>
        <w:t>NR_UE_pow_sav</w:t>
      </w:r>
      <w:r w:rsidRPr="00E17D7F">
        <w:rPr>
          <w:color w:val="0000FF"/>
          <w:lang w:val="en-GB" w:eastAsia="en-US"/>
        </w:rPr>
        <w:t>-Cross</w:t>
      </w:r>
      <w:r w:rsidRPr="00E17D7F">
        <w:rPr>
          <w:color w:val="0000FF"/>
          <w:lang w:val="en-GB" w:eastAsia="en-US"/>
        </w:rPr>
        <w:t>_</w:t>
      </w:r>
      <w:r w:rsidRPr="00E17D7F">
        <w:rPr>
          <w:color w:val="0000FF"/>
          <w:lang w:val="en-GB" w:eastAsia="en-US"/>
        </w:rPr>
        <w:t>Slot-A]</w:t>
      </w:r>
      <w:r w:rsidRPr="00E17D7F">
        <w:rPr>
          <w:rFonts w:asciiTheme="minorHAnsi" w:hAnsiTheme="minorHAnsi"/>
          <w:color w:val="0000FF"/>
        </w:rPr>
        <w:t>: Clarifications regarding BWP switch and application delay</w:t>
      </w:r>
    </w:p>
    <w:p w14:paraId="00B63B8C" w14:textId="41D00C1A" w:rsidR="00E17D7F" w:rsidRPr="00E17D7F" w:rsidRDefault="00E17D7F" w:rsidP="00E17D7F">
      <w:pPr>
        <w:ind w:firstLine="284"/>
        <w:rPr>
          <w:rFonts w:asciiTheme="minorHAnsi" w:hAnsiTheme="minorHAnsi"/>
          <w:color w:val="0000FF"/>
        </w:rPr>
      </w:pPr>
      <w:r w:rsidRPr="00E17D7F">
        <w:rPr>
          <w:color w:val="0000FF"/>
          <w:lang w:val="en-GB" w:eastAsia="en-US"/>
        </w:rPr>
        <w:t>[100e-Pre-NR-</w:t>
      </w:r>
      <w:r w:rsidRPr="00E17D7F">
        <w:rPr>
          <w:color w:val="0000FF"/>
          <w:lang w:val="en-GB" w:eastAsia="en-US"/>
        </w:rPr>
        <w:t>NR_UE_pow_sav</w:t>
      </w:r>
      <w:r w:rsidRPr="00E17D7F">
        <w:rPr>
          <w:color w:val="0000FF"/>
          <w:lang w:val="en-GB" w:eastAsia="en-US"/>
        </w:rPr>
        <w:t>-Cross</w:t>
      </w:r>
      <w:r w:rsidRPr="00E17D7F">
        <w:rPr>
          <w:color w:val="0000FF"/>
          <w:lang w:val="en-GB" w:eastAsia="en-US"/>
        </w:rPr>
        <w:t>_</w:t>
      </w:r>
      <w:r w:rsidRPr="00E17D7F">
        <w:rPr>
          <w:color w:val="0000FF"/>
          <w:lang w:val="en-GB" w:eastAsia="en-US"/>
        </w:rPr>
        <w:t>Slot-</w:t>
      </w:r>
      <w:r w:rsidRPr="00E17D7F">
        <w:rPr>
          <w:color w:val="0000FF"/>
          <w:lang w:val="en-GB" w:eastAsia="en-US"/>
        </w:rPr>
        <w:t>B</w:t>
      </w:r>
      <w:r w:rsidRPr="00E17D7F">
        <w:rPr>
          <w:color w:val="0000FF"/>
          <w:lang w:val="en-GB" w:eastAsia="en-US"/>
        </w:rPr>
        <w:t>]</w:t>
      </w:r>
      <w:r w:rsidRPr="00E17D7F">
        <w:rPr>
          <w:color w:val="0000FF"/>
          <w:lang w:val="en-GB" w:eastAsia="en-US"/>
        </w:rPr>
        <w:t xml:space="preserve">: </w:t>
      </w:r>
      <w:r w:rsidRPr="00E17D7F">
        <w:rPr>
          <w:rFonts w:asciiTheme="minorHAnsi" w:hAnsiTheme="minorHAnsi"/>
          <w:color w:val="0000FF"/>
        </w:rPr>
        <w:t>Exceptional case(s) and error handling</w:t>
      </w:r>
    </w:p>
    <w:p w14:paraId="10E4BF6A" w14:textId="217293B9" w:rsidR="00E17D7F" w:rsidRPr="00E17D7F" w:rsidRDefault="00E17D7F" w:rsidP="00E17D7F">
      <w:pPr>
        <w:ind w:firstLine="284"/>
        <w:rPr>
          <w:rFonts w:asciiTheme="minorHAnsi" w:hAnsiTheme="minorHAnsi"/>
        </w:rPr>
      </w:pPr>
      <w:r w:rsidRPr="00E17D7F">
        <w:rPr>
          <w:color w:val="0000FF"/>
          <w:lang w:val="en-GB" w:eastAsia="en-US"/>
        </w:rPr>
        <w:t>[100e-Pre-NR-</w:t>
      </w:r>
      <w:r w:rsidRPr="00E17D7F">
        <w:rPr>
          <w:color w:val="0000FF"/>
          <w:lang w:val="en-GB" w:eastAsia="en-US"/>
        </w:rPr>
        <w:t>NR_UE_pow_sav</w:t>
      </w:r>
      <w:r w:rsidRPr="00E17D7F">
        <w:rPr>
          <w:color w:val="0000FF"/>
          <w:lang w:val="en-GB" w:eastAsia="en-US"/>
        </w:rPr>
        <w:t>-Cross</w:t>
      </w:r>
      <w:r w:rsidRPr="00E17D7F">
        <w:rPr>
          <w:color w:val="0000FF"/>
          <w:lang w:val="en-GB" w:eastAsia="en-US"/>
        </w:rPr>
        <w:t>_</w:t>
      </w:r>
      <w:r w:rsidRPr="00E17D7F">
        <w:rPr>
          <w:color w:val="0000FF"/>
          <w:lang w:val="en-GB" w:eastAsia="en-US"/>
        </w:rPr>
        <w:t>Slot-</w:t>
      </w:r>
      <w:r w:rsidRPr="00E17D7F">
        <w:rPr>
          <w:color w:val="0000FF"/>
          <w:lang w:val="en-GB" w:eastAsia="en-US"/>
        </w:rPr>
        <w:t>C</w:t>
      </w:r>
      <w:r w:rsidRPr="00E17D7F">
        <w:rPr>
          <w:color w:val="0000FF"/>
          <w:lang w:val="en-GB" w:eastAsia="en-US"/>
        </w:rPr>
        <w:t>]</w:t>
      </w:r>
      <w:r w:rsidRPr="00E17D7F">
        <w:rPr>
          <w:color w:val="0000FF"/>
          <w:lang w:val="en-GB" w:eastAsia="en-US"/>
        </w:rPr>
        <w:t xml:space="preserve">: </w:t>
      </w:r>
      <w:r w:rsidRPr="00E17D7F">
        <w:rPr>
          <w:rFonts w:asciiTheme="minorHAnsi" w:hAnsiTheme="minorHAnsi"/>
          <w:color w:val="0000FF"/>
        </w:rPr>
        <w:t>Potential extensions and editorials</w:t>
      </w:r>
    </w:p>
    <w:p w14:paraId="7B669137" w14:textId="77777777" w:rsidR="00E17D7F" w:rsidRDefault="00E17D7F">
      <w:pPr>
        <w:rPr>
          <w:rFonts w:asciiTheme="minorHAnsi" w:hAnsiTheme="minorHAnsi"/>
        </w:rPr>
      </w:pPr>
    </w:p>
    <w:p w14:paraId="3F0D6F6D" w14:textId="0ADE4EF6" w:rsidR="00E17D7F" w:rsidRDefault="00E17D7F">
      <w:pPr>
        <w:rPr>
          <w:rFonts w:asciiTheme="minorHAnsi" w:hAnsiTheme="minorHAnsi"/>
        </w:rPr>
      </w:pPr>
      <w:r>
        <w:rPr>
          <w:rFonts w:asciiTheme="minorHAnsi" w:hAnsiTheme="minorHAnsi"/>
        </w:rPr>
        <w:t>The following sections will further clarify the email threads, respectively.</w:t>
      </w:r>
    </w:p>
    <w:p w14:paraId="03C41BCF" w14:textId="77777777" w:rsidR="00E17D7F" w:rsidRDefault="00E17D7F">
      <w:pPr>
        <w:rPr>
          <w:rFonts w:asciiTheme="minorHAnsi" w:hAnsiTheme="minorHAnsi"/>
        </w:rPr>
      </w:pPr>
    </w:p>
    <w:p w14:paraId="646E9D68" w14:textId="77777777" w:rsidR="00E17D7F" w:rsidRDefault="00E17D7F">
      <w:pPr>
        <w:rPr>
          <w:rFonts w:asciiTheme="minorHAnsi" w:hAnsiTheme="minorHAnsi"/>
        </w:rPr>
      </w:pPr>
    </w:p>
    <w:p w14:paraId="0BCDB8EA" w14:textId="77777777" w:rsidR="004C664B" w:rsidRDefault="004C664B">
      <w:pPr>
        <w:rPr>
          <w:rFonts w:asciiTheme="minorHAnsi" w:hAnsiTheme="minorHAnsi"/>
        </w:rPr>
      </w:pPr>
    </w:p>
    <w:p w14:paraId="035E4CDD" w14:textId="285585D7" w:rsidR="00106E00" w:rsidRDefault="00E17D7F" w:rsidP="00892594">
      <w:pPr>
        <w:pStyle w:val="Heading1"/>
        <w:rPr>
          <w:rFonts w:asciiTheme="minorHAnsi" w:hAnsiTheme="minorHAnsi"/>
        </w:rPr>
      </w:pPr>
      <w:r>
        <w:rPr>
          <w:rFonts w:asciiTheme="minorHAnsi" w:hAnsiTheme="minorHAnsi"/>
        </w:rPr>
        <w:t>Clarifications regarding BWP switch and application delay</w:t>
      </w:r>
    </w:p>
    <w:p w14:paraId="73FC46C5" w14:textId="43FE8920" w:rsidR="00E17D7F" w:rsidRDefault="00E17D7F" w:rsidP="00E17D7F">
      <w:pPr>
        <w:rPr>
          <w:lang w:val="en-GB" w:eastAsia="en-US"/>
        </w:rPr>
      </w:pPr>
      <w:r>
        <w:rPr>
          <w:lang w:val="en-GB" w:eastAsia="en-US"/>
        </w:rPr>
        <w:t xml:space="preserve">The identified issues and their description for </w:t>
      </w:r>
      <w:r>
        <w:rPr>
          <w:lang w:val="en-GB" w:eastAsia="en-US"/>
        </w:rPr>
        <w:t>[100e-Pre-NR-UE-Pow-Sav-Cross-Slot-A]</w:t>
      </w:r>
      <w:r>
        <w:rPr>
          <w:lang w:val="en-GB" w:eastAsia="en-US"/>
        </w:rPr>
        <w:t xml:space="preserve"> are summarized in </w:t>
      </w:r>
      <w:r>
        <w:rPr>
          <w:lang w:val="en-GB" w:eastAsia="en-US"/>
        </w:rPr>
        <w:fldChar w:fldCharType="begin"/>
      </w:r>
      <w:r>
        <w:rPr>
          <w:lang w:val="en-GB" w:eastAsia="en-US"/>
        </w:rPr>
        <w:instrText xml:space="preserve"> REF _Ref32916571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w:t>
      </w:r>
    </w:p>
    <w:p w14:paraId="594CF75A" w14:textId="77777777" w:rsidR="00E17D7F" w:rsidRDefault="00E17D7F" w:rsidP="00E17D7F">
      <w:pPr>
        <w:rPr>
          <w:lang w:val="en-GB" w:eastAsia="en-US"/>
        </w:rPr>
      </w:pPr>
    </w:p>
    <w:p w14:paraId="614F21AF" w14:textId="34D3CC6B" w:rsidR="00E17D7F" w:rsidRDefault="00E17D7F" w:rsidP="00E17D7F">
      <w:pPr>
        <w:pStyle w:val="Caption"/>
        <w:keepNext/>
        <w:jc w:val="center"/>
      </w:pPr>
      <w:bookmarkStart w:id="2" w:name="_Ref32916563"/>
      <w:bookmarkStart w:id="3" w:name="_Ref32916571"/>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sidRPr="00ED283E">
        <w:t>[100e-Pre-NR-UE-Pow-Sav-Cross-Slot-A]: Clarifications regarding BWP switch and application delay</w:t>
      </w:r>
      <w:bookmarkEnd w:id="2"/>
    </w:p>
    <w:tbl>
      <w:tblPr>
        <w:tblStyle w:val="TableGrid"/>
        <w:tblW w:w="0" w:type="auto"/>
        <w:tblLook w:val="04A0" w:firstRow="1" w:lastRow="0" w:firstColumn="1" w:lastColumn="0" w:noHBand="0" w:noVBand="1"/>
      </w:tblPr>
      <w:tblGrid>
        <w:gridCol w:w="562"/>
        <w:gridCol w:w="2835"/>
        <w:gridCol w:w="5812"/>
        <w:gridCol w:w="1248"/>
      </w:tblGrid>
      <w:tr w:rsidR="00E17D7F" w14:paraId="05423145" w14:textId="77777777" w:rsidTr="00E17D7F">
        <w:tc>
          <w:tcPr>
            <w:tcW w:w="3397" w:type="dxa"/>
            <w:gridSpan w:val="2"/>
          </w:tcPr>
          <w:p w14:paraId="1E8A5969" w14:textId="6653C9C0" w:rsidR="00E17D7F" w:rsidRPr="00E17D7F" w:rsidRDefault="00E17D7F" w:rsidP="00E17D7F">
            <w:pPr>
              <w:jc w:val="center"/>
              <w:rPr>
                <w:b/>
                <w:lang w:val="en-GB" w:eastAsia="en-US"/>
              </w:rPr>
            </w:pPr>
            <w:r>
              <w:rPr>
                <w:b/>
                <w:lang w:val="en-GB" w:eastAsia="en-US"/>
              </w:rPr>
              <w:t>Issue</w:t>
            </w:r>
          </w:p>
        </w:tc>
        <w:tc>
          <w:tcPr>
            <w:tcW w:w="5812" w:type="dxa"/>
          </w:tcPr>
          <w:p w14:paraId="3C94CDD6" w14:textId="7FAA924D" w:rsidR="00E17D7F" w:rsidRPr="00E17D7F" w:rsidRDefault="00E17D7F" w:rsidP="00E17D7F">
            <w:pPr>
              <w:jc w:val="center"/>
              <w:rPr>
                <w:b/>
                <w:lang w:val="en-GB" w:eastAsia="en-US"/>
              </w:rPr>
            </w:pPr>
            <w:r w:rsidRPr="00E17D7F">
              <w:rPr>
                <w:b/>
                <w:lang w:val="en-GB" w:eastAsia="en-US"/>
              </w:rPr>
              <w:t>Description</w:t>
            </w:r>
          </w:p>
        </w:tc>
        <w:tc>
          <w:tcPr>
            <w:tcW w:w="1248" w:type="dxa"/>
          </w:tcPr>
          <w:p w14:paraId="33A96987" w14:textId="5EAB092C" w:rsidR="00E17D7F" w:rsidRPr="00E17D7F" w:rsidRDefault="00E17D7F" w:rsidP="00E17D7F">
            <w:pPr>
              <w:jc w:val="center"/>
              <w:rPr>
                <w:b/>
                <w:lang w:val="en-GB" w:eastAsia="en-US"/>
              </w:rPr>
            </w:pPr>
            <w:r w:rsidRPr="00E17D7F">
              <w:rPr>
                <w:b/>
                <w:lang w:val="en-GB" w:eastAsia="en-US"/>
              </w:rPr>
              <w:t>Priority</w:t>
            </w:r>
          </w:p>
        </w:tc>
      </w:tr>
      <w:tr w:rsidR="00E17D7F" w14:paraId="11DC54F0" w14:textId="77777777" w:rsidTr="00E17D7F">
        <w:tc>
          <w:tcPr>
            <w:tcW w:w="562" w:type="dxa"/>
          </w:tcPr>
          <w:p w14:paraId="5768D3A5" w14:textId="5A7C017E" w:rsidR="00E17D7F" w:rsidRDefault="00E17D7F" w:rsidP="006B0B3B">
            <w:pPr>
              <w:jc w:val="center"/>
              <w:rPr>
                <w:lang w:val="en-GB" w:eastAsia="en-US"/>
              </w:rPr>
            </w:pPr>
            <w:r>
              <w:rPr>
                <w:lang w:val="en-GB" w:eastAsia="en-US"/>
              </w:rPr>
              <w:t>A1</w:t>
            </w:r>
          </w:p>
        </w:tc>
        <w:tc>
          <w:tcPr>
            <w:tcW w:w="2835" w:type="dxa"/>
          </w:tcPr>
          <w:p w14:paraId="6B8C47E4" w14:textId="6DFEF1AC" w:rsidR="00E17D7F" w:rsidRPr="00E17D7F" w:rsidRDefault="00E17D7F" w:rsidP="00E17D7F">
            <w:pPr>
              <w:rPr>
                <w:lang w:val="en-GB" w:eastAsia="en-US"/>
              </w:rPr>
            </w:pPr>
            <w:r>
              <w:rPr>
                <w:lang w:val="en-GB" w:eastAsia="en-US"/>
              </w:rPr>
              <w:t>Indication of minimum applicable K0/K2 value with cross-BWP scheduling</w:t>
            </w:r>
          </w:p>
        </w:tc>
        <w:tc>
          <w:tcPr>
            <w:tcW w:w="5812" w:type="dxa"/>
          </w:tcPr>
          <w:p w14:paraId="7FAEE5B1" w14:textId="2969BA92" w:rsidR="00E17D7F" w:rsidRPr="00E17D7F" w:rsidRDefault="00E17D7F" w:rsidP="00E17D7F">
            <w:pPr>
              <w:rPr>
                <w:lang w:val="en-GB" w:eastAsia="en-US"/>
              </w:rPr>
            </w:pPr>
            <w:r w:rsidRPr="00E17D7F">
              <w:rPr>
                <w:lang w:val="en-GB" w:eastAsia="en-US"/>
              </w:rPr>
              <w:t>minimumSchedulingOffset(s) is configured per BWP. When active BWP is changed with cross-BWP scheduling, what is the indicated and applied configuration via the 1-bit in the DCI.</w:t>
            </w:r>
          </w:p>
        </w:tc>
        <w:tc>
          <w:tcPr>
            <w:tcW w:w="1248" w:type="dxa"/>
          </w:tcPr>
          <w:p w14:paraId="73AEBED8" w14:textId="628BB5EC" w:rsidR="00E17D7F" w:rsidRDefault="00E17D7F" w:rsidP="006B0B3B">
            <w:pPr>
              <w:jc w:val="center"/>
              <w:rPr>
                <w:lang w:val="en-GB" w:eastAsia="en-US"/>
              </w:rPr>
            </w:pPr>
            <w:r>
              <w:rPr>
                <w:lang w:val="en-GB" w:eastAsia="en-US"/>
              </w:rPr>
              <w:t>High</w:t>
            </w:r>
          </w:p>
        </w:tc>
      </w:tr>
      <w:tr w:rsidR="00E17D7F" w14:paraId="7BF96D41" w14:textId="77777777" w:rsidTr="00E17D7F">
        <w:tc>
          <w:tcPr>
            <w:tcW w:w="562" w:type="dxa"/>
          </w:tcPr>
          <w:p w14:paraId="4CB34764" w14:textId="5611E349" w:rsidR="00E17D7F" w:rsidRDefault="00E17D7F" w:rsidP="006B0B3B">
            <w:pPr>
              <w:jc w:val="center"/>
              <w:rPr>
                <w:lang w:val="en-GB" w:eastAsia="en-US"/>
              </w:rPr>
            </w:pPr>
            <w:r>
              <w:rPr>
                <w:lang w:val="en-GB" w:eastAsia="en-US"/>
              </w:rPr>
              <w:t>A2</w:t>
            </w:r>
          </w:p>
        </w:tc>
        <w:tc>
          <w:tcPr>
            <w:tcW w:w="2835" w:type="dxa"/>
          </w:tcPr>
          <w:p w14:paraId="14C696C1" w14:textId="573C628F" w:rsidR="00E17D7F" w:rsidRDefault="00E17D7F" w:rsidP="00E17D7F">
            <w:pPr>
              <w:rPr>
                <w:lang w:val="en-GB" w:eastAsia="en-US"/>
              </w:rPr>
            </w:pPr>
            <w:r>
              <w:rPr>
                <w:lang w:val="en-GB" w:eastAsia="en-US"/>
              </w:rPr>
              <w:t>UE adaptation behaviour</w:t>
            </w:r>
          </w:p>
        </w:tc>
        <w:tc>
          <w:tcPr>
            <w:tcW w:w="5812" w:type="dxa"/>
          </w:tcPr>
          <w:p w14:paraId="5630D0DA" w14:textId="77777777" w:rsidR="00E17D7F" w:rsidRDefault="00E17D7F" w:rsidP="00E17D7F">
            <w:pPr>
              <w:pStyle w:val="ListParagraph"/>
              <w:numPr>
                <w:ilvl w:val="0"/>
                <w:numId w:val="44"/>
              </w:numPr>
              <w:rPr>
                <w:lang w:val="en-GB" w:eastAsia="en-US"/>
              </w:rPr>
            </w:pPr>
            <w:r w:rsidRPr="00E17D7F">
              <w:rPr>
                <w:lang w:val="en-GB" w:eastAsia="en-US"/>
              </w:rPr>
              <w:t>In Rel-15, cross-slot scheduling adaptation can be realized by BWP switch, and UE applies the TDRA table of the target BWP. Rel-16 further introduce new adaptation within an active BWP, and it is necessary to clarify when and how the indicated minimum applicable K0/K2 value takes effect if there is time overlapping between Rel-16 cross-slot scheduling adaptation and Rel-15 BWP switch.</w:t>
            </w:r>
          </w:p>
          <w:p w14:paraId="21923245" w14:textId="01823B77" w:rsidR="00E17D7F" w:rsidRPr="00E17D7F" w:rsidRDefault="00E17D7F" w:rsidP="00E17D7F">
            <w:pPr>
              <w:pStyle w:val="ListParagraph"/>
              <w:numPr>
                <w:ilvl w:val="0"/>
                <w:numId w:val="44"/>
              </w:numPr>
              <w:rPr>
                <w:rFonts w:eastAsia="Times New Roman" w:cs="Times New Roman"/>
                <w:color w:val="000000"/>
                <w:lang w:eastAsia="zh-TW"/>
              </w:rPr>
            </w:pPr>
            <w:r w:rsidRPr="00E17D7F">
              <w:rPr>
                <w:rFonts w:eastAsia="Times New Roman" w:cs="Times New Roman"/>
                <w:color w:val="000000"/>
                <w:lang w:eastAsia="zh-TW"/>
              </w:rPr>
              <w:t>UE does not expect to receive another indication of minimum scheduling offset change in a scheduling DCI for the same active BWP before the slot for which a previous indication of minimum scheduling offset change is expected to be applied</w:t>
            </w:r>
          </w:p>
        </w:tc>
        <w:tc>
          <w:tcPr>
            <w:tcW w:w="1248" w:type="dxa"/>
          </w:tcPr>
          <w:p w14:paraId="009F57D6" w14:textId="506E6CAC" w:rsidR="00E17D7F" w:rsidRDefault="00E17D7F" w:rsidP="006B0B3B">
            <w:pPr>
              <w:jc w:val="center"/>
              <w:rPr>
                <w:lang w:val="en-GB" w:eastAsia="en-US"/>
              </w:rPr>
            </w:pPr>
            <w:r>
              <w:rPr>
                <w:lang w:val="en-GB" w:eastAsia="en-US"/>
              </w:rPr>
              <w:t>High</w:t>
            </w:r>
          </w:p>
        </w:tc>
      </w:tr>
      <w:tr w:rsidR="00E17D7F" w14:paraId="155CE1CC" w14:textId="77777777" w:rsidTr="00E17D7F">
        <w:tc>
          <w:tcPr>
            <w:tcW w:w="562" w:type="dxa"/>
          </w:tcPr>
          <w:p w14:paraId="2AE13F84" w14:textId="374BF307" w:rsidR="00E17D7F" w:rsidRDefault="00E17D7F" w:rsidP="006B0B3B">
            <w:pPr>
              <w:jc w:val="center"/>
              <w:rPr>
                <w:lang w:val="en-GB" w:eastAsia="en-US"/>
              </w:rPr>
            </w:pPr>
            <w:r>
              <w:rPr>
                <w:lang w:val="en-GB" w:eastAsia="en-US"/>
              </w:rPr>
              <w:t>A3</w:t>
            </w:r>
          </w:p>
        </w:tc>
        <w:tc>
          <w:tcPr>
            <w:tcW w:w="2835" w:type="dxa"/>
          </w:tcPr>
          <w:p w14:paraId="1E4E755C" w14:textId="5AF5151F" w:rsidR="00E17D7F" w:rsidRDefault="00E17D7F" w:rsidP="00E17D7F">
            <w:pPr>
              <w:rPr>
                <w:lang w:val="en-GB" w:eastAsia="en-US"/>
              </w:rPr>
            </w:pPr>
            <w:r>
              <w:rPr>
                <w:lang w:val="en-GB" w:eastAsia="en-US"/>
              </w:rPr>
              <w:t>Clarifications on application delay specification</w:t>
            </w:r>
          </w:p>
        </w:tc>
        <w:tc>
          <w:tcPr>
            <w:tcW w:w="5812" w:type="dxa"/>
          </w:tcPr>
          <w:p w14:paraId="073834A3" w14:textId="32777D2E" w:rsidR="00E17D7F" w:rsidRDefault="00E17D7F" w:rsidP="00E17D7F">
            <w:pPr>
              <w:rPr>
                <w:lang w:val="en-GB" w:eastAsia="en-US"/>
              </w:rPr>
            </w:pPr>
            <w:r>
              <w:rPr>
                <w:lang w:val="en-GB" w:eastAsia="en-US"/>
              </w:rPr>
              <w:t>Suggested items for discussion:</w:t>
            </w:r>
          </w:p>
          <w:p w14:paraId="2D0A212F" w14:textId="77777777" w:rsidR="00E17D7F" w:rsidRDefault="00E17D7F" w:rsidP="00E17D7F">
            <w:pPr>
              <w:pStyle w:val="ListParagraph"/>
              <w:numPr>
                <w:ilvl w:val="0"/>
                <w:numId w:val="39"/>
              </w:numPr>
              <w:rPr>
                <w:lang w:val="en-GB" w:eastAsia="en-US"/>
              </w:rPr>
            </w:pPr>
            <w:r>
              <w:rPr>
                <w:lang w:val="en-GB" w:eastAsia="en-US"/>
              </w:rPr>
              <w:t>Confirm working assumption on Y value determination for cross-carrier scheduling case</w:t>
            </w:r>
          </w:p>
          <w:p w14:paraId="189A57FC" w14:textId="0FFB803F" w:rsidR="00E17D7F" w:rsidRDefault="00E17D7F" w:rsidP="00E17D7F">
            <w:pPr>
              <w:pStyle w:val="ListParagraph"/>
              <w:numPr>
                <w:ilvl w:val="0"/>
                <w:numId w:val="39"/>
              </w:numPr>
              <w:rPr>
                <w:lang w:val="en-GB" w:eastAsia="en-US"/>
              </w:rPr>
            </w:pPr>
            <w:r>
              <w:rPr>
                <w:lang w:val="en-GB" w:eastAsia="en-US"/>
              </w:rPr>
              <w:t xml:space="preserve">Clarification of  </w:t>
            </w:r>
            <m:oMath>
              <m:sSup>
                <m:sSupPr>
                  <m:ctrlPr>
                    <w:rPr>
                      <w:rFonts w:ascii="Cambria Math" w:hAnsi="Cambria Math"/>
                      <w:color w:val="000000"/>
                      <w:lang w:val=""/>
                    </w:rPr>
                  </m:ctrlPr>
                </m:sSupPr>
                <m:e>
                  <m:r>
                    <m:rPr>
                      <m:sty m:val="p"/>
                    </m:rPr>
                    <w:rPr>
                      <w:rFonts w:ascii="Cambria Math" w:hAnsi="Cambria Math"/>
                      <w:color w:val="000000"/>
                      <w:lang w:val=""/>
                    </w:rPr>
                    <m:t>2</m:t>
                  </m:r>
                </m:e>
                <m:sup>
                  <m:sSub>
                    <m:sSubPr>
                      <m:ctrlPr>
                        <w:rPr>
                          <w:rFonts w:ascii="Cambria Math" w:hAnsi="Cambria Math"/>
                          <w:color w:val="000000"/>
                          <w:lang w:val=""/>
                        </w:rPr>
                      </m:ctrlPr>
                    </m:sSubPr>
                    <m:e>
                      <m:r>
                        <w:rPr>
                          <w:rFonts w:ascii="Cambria Math" w:hAnsi="Cambria Math"/>
                          <w:color w:val="000000"/>
                          <w:lang w:val=""/>
                        </w:rPr>
                        <m:t>μ</m:t>
                      </m:r>
                    </m:e>
                    <m:sub>
                      <m:r>
                        <w:rPr>
                          <w:rFonts w:ascii="Cambria Math" w:hAnsi="Cambria Math"/>
                          <w:color w:val="000000"/>
                          <w:lang w:val=""/>
                        </w:rPr>
                        <m:t>PDSCH</m:t>
                      </m:r>
                    </m:sub>
                  </m:sSub>
                </m:sup>
              </m:sSup>
            </m:oMath>
          </w:p>
          <w:p w14:paraId="42F90C0F" w14:textId="774E0DED" w:rsidR="00E17D7F" w:rsidRPr="00E17D7F" w:rsidRDefault="00E17D7F" w:rsidP="00E17D7F">
            <w:pPr>
              <w:numPr>
                <w:ilvl w:val="0"/>
                <w:numId w:val="39"/>
              </w:numPr>
              <w:textAlignment w:val="center"/>
              <w:rPr>
                <w:rFonts w:eastAsia="Times New Roman" w:cs="Times New Roman"/>
                <w:color w:val="000000"/>
                <w:lang w:eastAsia="zh-TW"/>
              </w:rPr>
            </w:pPr>
            <w:r>
              <w:rPr>
                <w:rFonts w:eastAsia="Times New Roman" w:cs="Times New Roman"/>
                <w:color w:val="000000"/>
                <w:lang w:val="en-GB" w:eastAsia="zh-TW"/>
              </w:rPr>
              <w:t xml:space="preserve">Assume </w:t>
            </w:r>
            <w:r w:rsidRPr="00E17D7F">
              <w:rPr>
                <w:rFonts w:eastAsia="Times New Roman" w:cs="Times New Roman"/>
                <w:color w:val="000000"/>
                <w:lang w:eastAsia="zh-TW"/>
              </w:rPr>
              <w:t>K</w:t>
            </w:r>
            <w:r>
              <w:rPr>
                <w:rFonts w:eastAsia="Times New Roman" w:cs="Times New Roman"/>
                <w:color w:val="000000"/>
                <w:lang w:eastAsia="zh-TW"/>
              </w:rPr>
              <w:t>_0min</w:t>
            </w:r>
            <w:r w:rsidRPr="00E17D7F">
              <w:rPr>
                <w:rFonts w:eastAsia="Times New Roman" w:cs="Times New Roman"/>
                <w:color w:val="000000"/>
                <w:lang w:eastAsia="zh-TW"/>
              </w:rPr>
              <w:t xml:space="preserve"> = 0 if no configuration in the active DL BWP of the scheduling cell</w:t>
            </w:r>
          </w:p>
        </w:tc>
        <w:tc>
          <w:tcPr>
            <w:tcW w:w="1248" w:type="dxa"/>
          </w:tcPr>
          <w:p w14:paraId="675079C8" w14:textId="7BACAF7D" w:rsidR="00E17D7F" w:rsidRDefault="00E17D7F" w:rsidP="006B0B3B">
            <w:pPr>
              <w:jc w:val="center"/>
              <w:rPr>
                <w:lang w:val="en-GB" w:eastAsia="en-US"/>
              </w:rPr>
            </w:pPr>
            <w:r>
              <w:rPr>
                <w:lang w:val="en-GB" w:eastAsia="en-US"/>
              </w:rPr>
              <w:t>Medium</w:t>
            </w:r>
          </w:p>
        </w:tc>
      </w:tr>
    </w:tbl>
    <w:p w14:paraId="190DFA9A" w14:textId="742E0F2C" w:rsidR="00E17D7F" w:rsidRDefault="00E17D7F" w:rsidP="00E17D7F">
      <w:pPr>
        <w:rPr>
          <w:lang w:val="en-GB" w:eastAsia="en-US"/>
        </w:rPr>
      </w:pPr>
    </w:p>
    <w:p w14:paraId="351E0AD1" w14:textId="77777777" w:rsidR="00E17D7F" w:rsidRDefault="00E17D7F" w:rsidP="00E17D7F">
      <w:pPr>
        <w:rPr>
          <w:lang w:val="en-GB" w:eastAsia="en-US"/>
        </w:rPr>
      </w:pPr>
    </w:p>
    <w:p w14:paraId="0EFA22D0" w14:textId="376FCA81" w:rsidR="0099114F" w:rsidRDefault="0099114F">
      <w:pPr>
        <w:rPr>
          <w:rFonts w:asciiTheme="minorHAnsi" w:hAnsiTheme="minorHAnsi"/>
        </w:rPr>
      </w:pPr>
    </w:p>
    <w:p w14:paraId="6DFC1FD6" w14:textId="77777777" w:rsidR="00E17D7F" w:rsidRDefault="00E17D7F">
      <w:pPr>
        <w:rPr>
          <w:rFonts w:asciiTheme="minorHAnsi" w:hAnsiTheme="minorHAnsi"/>
        </w:rPr>
      </w:pPr>
    </w:p>
    <w:p w14:paraId="6695286C" w14:textId="653CF126" w:rsidR="00460A86" w:rsidRPr="00A839FE" w:rsidRDefault="00E17D7F" w:rsidP="007B01E3">
      <w:pPr>
        <w:pStyle w:val="Heading1"/>
        <w:rPr>
          <w:rFonts w:asciiTheme="minorHAnsi" w:hAnsiTheme="minorHAnsi"/>
        </w:rPr>
      </w:pPr>
      <w:r w:rsidRPr="00E17D7F">
        <w:rPr>
          <w:rFonts w:asciiTheme="minorHAnsi" w:hAnsiTheme="minorHAnsi"/>
        </w:rPr>
        <w:lastRenderedPageBreak/>
        <w:t>Exceptional case(s) and error handling</w:t>
      </w:r>
    </w:p>
    <w:p w14:paraId="34D70DA6" w14:textId="0113C81C" w:rsidR="00E17D7F" w:rsidRDefault="00E17D7F" w:rsidP="00E17D7F">
      <w:pPr>
        <w:rPr>
          <w:lang w:val="en-GB" w:eastAsia="en-US"/>
        </w:rPr>
      </w:pPr>
      <w:r>
        <w:rPr>
          <w:lang w:val="en-GB" w:eastAsia="en-US"/>
        </w:rPr>
        <w:t>The identified issues and their description for [100e-Pre-NR-UE-Pow-Sav-Cross-Slot</w:t>
      </w:r>
      <w:r>
        <w:rPr>
          <w:lang w:val="en-GB" w:eastAsia="en-US"/>
        </w:rPr>
        <w:t>-B</w:t>
      </w:r>
      <w:r>
        <w:rPr>
          <w:lang w:val="en-GB" w:eastAsia="en-US"/>
        </w:rPr>
        <w:t>] are summarized in</w:t>
      </w:r>
      <w:r>
        <w:rPr>
          <w:lang w:val="en-GB" w:eastAsia="en-US"/>
        </w:rPr>
        <w:t xml:space="preserve"> </w:t>
      </w:r>
      <w:r>
        <w:rPr>
          <w:lang w:val="en-GB" w:eastAsia="en-US"/>
        </w:rPr>
        <w:fldChar w:fldCharType="begin"/>
      </w:r>
      <w:r>
        <w:rPr>
          <w:lang w:val="en-GB" w:eastAsia="en-US"/>
        </w:rPr>
        <w:instrText xml:space="preserve"> REF _Ref32917578 \h </w:instrText>
      </w:r>
      <w:r>
        <w:rPr>
          <w:lang w:val="en-GB" w:eastAsia="en-US"/>
        </w:rPr>
      </w:r>
      <w:r>
        <w:rPr>
          <w:lang w:val="en-GB" w:eastAsia="en-US"/>
        </w:rPr>
        <w:fldChar w:fldCharType="separate"/>
      </w:r>
      <w:r>
        <w:t xml:space="preserve">Table </w:t>
      </w:r>
      <w:r>
        <w:rPr>
          <w:noProof/>
        </w:rPr>
        <w:t>2</w:t>
      </w:r>
      <w:r>
        <w:rPr>
          <w:lang w:val="en-GB" w:eastAsia="en-US"/>
        </w:rPr>
        <w:fldChar w:fldCharType="end"/>
      </w:r>
      <w:r>
        <w:rPr>
          <w:lang w:val="en-GB" w:eastAsia="en-US"/>
        </w:rPr>
        <w:t>:</w:t>
      </w:r>
      <w:r>
        <w:rPr>
          <w:lang w:val="en-GB" w:eastAsia="en-US"/>
        </w:rPr>
        <w:t xml:space="preserve"> </w:t>
      </w:r>
    </w:p>
    <w:p w14:paraId="5BAB4784" w14:textId="77777777" w:rsidR="00E17D7F" w:rsidRDefault="00E17D7F" w:rsidP="00965129">
      <w:pPr>
        <w:rPr>
          <w:rFonts w:asciiTheme="minorHAnsi" w:hAnsiTheme="minorHAnsi"/>
          <w:lang w:val="en-GB"/>
        </w:rPr>
      </w:pPr>
    </w:p>
    <w:p w14:paraId="16BC4C8B" w14:textId="75944F09" w:rsidR="00E17D7F" w:rsidRDefault="00E17D7F" w:rsidP="00E17D7F">
      <w:pPr>
        <w:pStyle w:val="Caption"/>
        <w:keepNext/>
        <w:jc w:val="center"/>
      </w:pPr>
      <w:bookmarkStart w:id="4" w:name="_Ref32917578"/>
      <w:r>
        <w:t xml:space="preserve">Table </w:t>
      </w:r>
      <w:r>
        <w:fldChar w:fldCharType="begin"/>
      </w:r>
      <w:r>
        <w:instrText xml:space="preserve"> SEQ Table \* ARABIC </w:instrText>
      </w:r>
      <w:r>
        <w:fldChar w:fldCharType="separate"/>
      </w:r>
      <w:r>
        <w:rPr>
          <w:noProof/>
        </w:rPr>
        <w:t>2</w:t>
      </w:r>
      <w:r>
        <w:fldChar w:fldCharType="end"/>
      </w:r>
      <w:bookmarkEnd w:id="4"/>
      <w:r>
        <w:t xml:space="preserve">: </w:t>
      </w:r>
      <w:r w:rsidRPr="005C6936">
        <w:t>[100e-Pre-NR-UE-Pow-Sav-Cross-Slot-B]: Exceptional case(s) and error handling</w:t>
      </w:r>
    </w:p>
    <w:tbl>
      <w:tblPr>
        <w:tblStyle w:val="TableGrid"/>
        <w:tblW w:w="0" w:type="auto"/>
        <w:tblLook w:val="04A0" w:firstRow="1" w:lastRow="0" w:firstColumn="1" w:lastColumn="0" w:noHBand="0" w:noVBand="1"/>
      </w:tblPr>
      <w:tblGrid>
        <w:gridCol w:w="562"/>
        <w:gridCol w:w="2835"/>
        <w:gridCol w:w="5812"/>
        <w:gridCol w:w="1248"/>
      </w:tblGrid>
      <w:tr w:rsidR="00E17D7F" w14:paraId="5F904951" w14:textId="77777777" w:rsidTr="00F00682">
        <w:tc>
          <w:tcPr>
            <w:tcW w:w="3397" w:type="dxa"/>
            <w:gridSpan w:val="2"/>
          </w:tcPr>
          <w:p w14:paraId="50524769" w14:textId="77777777" w:rsidR="00E17D7F" w:rsidRPr="00E17D7F" w:rsidRDefault="00E17D7F" w:rsidP="00F00682">
            <w:pPr>
              <w:jc w:val="center"/>
              <w:rPr>
                <w:b/>
                <w:lang w:val="en-GB" w:eastAsia="en-US"/>
              </w:rPr>
            </w:pPr>
            <w:r>
              <w:rPr>
                <w:b/>
                <w:lang w:val="en-GB" w:eastAsia="en-US"/>
              </w:rPr>
              <w:t>Issue</w:t>
            </w:r>
          </w:p>
        </w:tc>
        <w:tc>
          <w:tcPr>
            <w:tcW w:w="5812" w:type="dxa"/>
          </w:tcPr>
          <w:p w14:paraId="7F8A55AA" w14:textId="77777777" w:rsidR="00E17D7F" w:rsidRPr="00E17D7F" w:rsidRDefault="00E17D7F" w:rsidP="00F00682">
            <w:pPr>
              <w:jc w:val="center"/>
              <w:rPr>
                <w:b/>
                <w:lang w:val="en-GB" w:eastAsia="en-US"/>
              </w:rPr>
            </w:pPr>
            <w:r w:rsidRPr="00E17D7F">
              <w:rPr>
                <w:b/>
                <w:lang w:val="en-GB" w:eastAsia="en-US"/>
              </w:rPr>
              <w:t>Description</w:t>
            </w:r>
          </w:p>
        </w:tc>
        <w:tc>
          <w:tcPr>
            <w:tcW w:w="1248" w:type="dxa"/>
          </w:tcPr>
          <w:p w14:paraId="790568BE" w14:textId="77777777" w:rsidR="00E17D7F" w:rsidRPr="00E17D7F" w:rsidRDefault="00E17D7F" w:rsidP="006B0B3B">
            <w:pPr>
              <w:jc w:val="center"/>
              <w:rPr>
                <w:b/>
                <w:lang w:val="en-GB" w:eastAsia="en-US"/>
              </w:rPr>
            </w:pPr>
            <w:r w:rsidRPr="00E17D7F">
              <w:rPr>
                <w:b/>
                <w:lang w:val="en-GB" w:eastAsia="en-US"/>
              </w:rPr>
              <w:t>Priority</w:t>
            </w:r>
          </w:p>
        </w:tc>
      </w:tr>
      <w:tr w:rsidR="00E17D7F" w14:paraId="670000F6" w14:textId="77777777" w:rsidTr="00F00682">
        <w:tc>
          <w:tcPr>
            <w:tcW w:w="562" w:type="dxa"/>
          </w:tcPr>
          <w:p w14:paraId="3D5991DA" w14:textId="4FA58F26" w:rsidR="00E17D7F" w:rsidRDefault="00E17D7F" w:rsidP="006B0B3B">
            <w:pPr>
              <w:jc w:val="center"/>
              <w:rPr>
                <w:lang w:val="en-GB" w:eastAsia="en-US"/>
              </w:rPr>
            </w:pPr>
            <w:r>
              <w:rPr>
                <w:lang w:val="en-GB" w:eastAsia="en-US"/>
              </w:rPr>
              <w:t>B</w:t>
            </w:r>
            <w:r>
              <w:rPr>
                <w:lang w:val="en-GB" w:eastAsia="en-US"/>
              </w:rPr>
              <w:t>1</w:t>
            </w:r>
          </w:p>
        </w:tc>
        <w:tc>
          <w:tcPr>
            <w:tcW w:w="2835" w:type="dxa"/>
          </w:tcPr>
          <w:p w14:paraId="303D217A" w14:textId="6E1C7297" w:rsidR="00E17D7F" w:rsidRPr="00E17D7F" w:rsidRDefault="00E17D7F" w:rsidP="00F00682">
            <w:pPr>
              <w:rPr>
                <w:lang w:val="en-GB" w:eastAsia="en-US"/>
              </w:rPr>
            </w:pPr>
            <w:r>
              <w:rPr>
                <w:lang w:val="en-GB" w:eastAsia="en-US"/>
              </w:rPr>
              <w:t>Exceptional cases</w:t>
            </w:r>
          </w:p>
        </w:tc>
        <w:tc>
          <w:tcPr>
            <w:tcW w:w="5812" w:type="dxa"/>
          </w:tcPr>
          <w:p w14:paraId="45622D62" w14:textId="298B92E1" w:rsidR="00E17D7F" w:rsidRDefault="00E17D7F" w:rsidP="00E17D7F">
            <w:pPr>
              <w:pStyle w:val="ListParagraph"/>
              <w:numPr>
                <w:ilvl w:val="0"/>
                <w:numId w:val="41"/>
              </w:numPr>
              <w:rPr>
                <w:lang w:val="en-GB" w:eastAsia="en-US"/>
              </w:rPr>
            </w:pPr>
            <w:r>
              <w:rPr>
                <w:color w:val="000000"/>
              </w:rPr>
              <w:t xml:space="preserve">Excluding </w:t>
            </w:r>
            <w:r>
              <w:rPr>
                <w:color w:val="000000"/>
              </w:rPr>
              <w:t>Type-3 CSS</w:t>
            </w:r>
            <w:r>
              <w:rPr>
                <w:color w:val="000000"/>
              </w:rPr>
              <w:t xml:space="preserve"> if default TDRA table is applied, or potential generalization whenever default TDRA table is applied</w:t>
            </w:r>
          </w:p>
          <w:p w14:paraId="4F81CE58" w14:textId="41D5D3E5" w:rsidR="00E17D7F" w:rsidRDefault="00E17D7F" w:rsidP="00E17D7F">
            <w:pPr>
              <w:pStyle w:val="ListParagraph"/>
              <w:numPr>
                <w:ilvl w:val="0"/>
                <w:numId w:val="41"/>
              </w:numPr>
              <w:rPr>
                <w:lang w:val="en-GB" w:eastAsia="en-US"/>
              </w:rPr>
            </w:pPr>
            <w:r>
              <w:rPr>
                <w:rFonts w:eastAsia="Times New Roman" w:cs="Times New Roman"/>
                <w:color w:val="000000"/>
                <w:lang w:val="en-GB" w:eastAsia="zh-TW"/>
              </w:rPr>
              <w:t xml:space="preserve">Revision to align with RAN1#96b agreement: </w:t>
            </w:r>
            <w:r w:rsidRPr="00E17D7F">
              <w:rPr>
                <w:rFonts w:eastAsia="Times New Roman" w:cs="Times New Roman"/>
                <w:color w:val="000000"/>
                <w:lang w:eastAsia="zh-TW"/>
              </w:rPr>
              <w:t xml:space="preserve">minimum scheduling offset restriction is not applied when </w:t>
            </w:r>
            <w:r>
              <w:rPr>
                <w:rFonts w:eastAsia="Times New Roman" w:cs="Times New Roman"/>
                <w:color w:val="000000"/>
                <w:lang w:eastAsia="zh-TW"/>
              </w:rPr>
              <w:t>…</w:t>
            </w:r>
            <w:r w:rsidRPr="00E17D7F">
              <w:rPr>
                <w:rFonts w:eastAsia="Times New Roman" w:cs="Times New Roman"/>
                <w:color w:val="000000"/>
                <w:lang w:eastAsia="zh-TW"/>
              </w:rPr>
              <w:t xml:space="preserve"> or when PDSCH transmission is scheduled with SI-RNTI or RA-RNTI </w:t>
            </w:r>
            <w:r w:rsidRPr="00E17D7F">
              <w:rPr>
                <w:rFonts w:eastAsia="Times New Roman" w:cs="Times New Roman"/>
                <w:color w:val="000000"/>
                <w:highlight w:val="yellow"/>
                <w:lang w:eastAsia="zh-TW"/>
              </w:rPr>
              <w:t>or P-RNTI</w:t>
            </w:r>
          </w:p>
          <w:p w14:paraId="343A1186" w14:textId="167C24CC" w:rsidR="00E17D7F" w:rsidRPr="00E17D7F" w:rsidRDefault="00E17D7F" w:rsidP="00E17D7F">
            <w:pPr>
              <w:pStyle w:val="ListParagraph"/>
              <w:numPr>
                <w:ilvl w:val="0"/>
                <w:numId w:val="41"/>
              </w:numPr>
              <w:rPr>
                <w:lang w:val="en-GB" w:eastAsia="en-US"/>
              </w:rPr>
            </w:pPr>
            <w:r>
              <w:rPr>
                <w:lang w:val="en-GB" w:eastAsia="en-US"/>
              </w:rPr>
              <w:t xml:space="preserve">BFR: </w:t>
            </w:r>
            <w:r>
              <w:rPr>
                <w:color w:val="000000"/>
              </w:rPr>
              <w:t>The minimum scheduling offsets is not applied when monitoring C-RNTI or MCS-C-RNTI on recoverySearchSpaceId</w:t>
            </w:r>
          </w:p>
        </w:tc>
        <w:tc>
          <w:tcPr>
            <w:tcW w:w="1248" w:type="dxa"/>
          </w:tcPr>
          <w:p w14:paraId="32BF111B" w14:textId="77777777" w:rsidR="00E17D7F" w:rsidRDefault="00E17D7F" w:rsidP="006B0B3B">
            <w:pPr>
              <w:jc w:val="center"/>
              <w:rPr>
                <w:lang w:val="en-GB" w:eastAsia="en-US"/>
              </w:rPr>
            </w:pPr>
            <w:r>
              <w:rPr>
                <w:lang w:val="en-GB" w:eastAsia="en-US"/>
              </w:rPr>
              <w:t>High</w:t>
            </w:r>
          </w:p>
        </w:tc>
      </w:tr>
      <w:tr w:rsidR="00E17D7F" w14:paraId="5AAD72C3" w14:textId="77777777" w:rsidTr="00F00682">
        <w:tc>
          <w:tcPr>
            <w:tcW w:w="562" w:type="dxa"/>
          </w:tcPr>
          <w:p w14:paraId="0631DA80" w14:textId="374AB3CC" w:rsidR="00E17D7F" w:rsidRDefault="00E17D7F" w:rsidP="006B0B3B">
            <w:pPr>
              <w:jc w:val="center"/>
              <w:rPr>
                <w:lang w:val="en-GB" w:eastAsia="en-US"/>
              </w:rPr>
            </w:pPr>
            <w:r>
              <w:rPr>
                <w:lang w:val="en-GB" w:eastAsia="en-US"/>
              </w:rPr>
              <w:t>B</w:t>
            </w:r>
            <w:r>
              <w:rPr>
                <w:lang w:val="en-GB" w:eastAsia="en-US"/>
              </w:rPr>
              <w:t>2</w:t>
            </w:r>
          </w:p>
        </w:tc>
        <w:tc>
          <w:tcPr>
            <w:tcW w:w="2835" w:type="dxa"/>
          </w:tcPr>
          <w:p w14:paraId="41982103" w14:textId="5EE60BEA" w:rsidR="00E17D7F" w:rsidRDefault="00E17D7F" w:rsidP="00F00682">
            <w:pPr>
              <w:rPr>
                <w:lang w:val="en-GB" w:eastAsia="en-US"/>
              </w:rPr>
            </w:pPr>
            <w:r>
              <w:rPr>
                <w:lang w:val="en-GB" w:eastAsia="en-US"/>
              </w:rPr>
              <w:t>Error handling</w:t>
            </w:r>
          </w:p>
        </w:tc>
        <w:tc>
          <w:tcPr>
            <w:tcW w:w="5812" w:type="dxa"/>
          </w:tcPr>
          <w:p w14:paraId="1771010C" w14:textId="77777777" w:rsidR="00E17D7F" w:rsidRDefault="00E17D7F" w:rsidP="00F00682">
            <w:pPr>
              <w:rPr>
                <w:lang w:val="en-GB" w:eastAsia="en-US"/>
              </w:rPr>
            </w:pPr>
            <w:r>
              <w:rPr>
                <w:lang w:val="en-GB" w:eastAsia="en-US"/>
              </w:rPr>
              <w:t>Discuss and specify, if necessary,</w:t>
            </w:r>
          </w:p>
          <w:p w14:paraId="67904989" w14:textId="77777777" w:rsidR="006B0B3B" w:rsidRDefault="00E17D7F" w:rsidP="006B0B3B">
            <w:pPr>
              <w:pStyle w:val="ListParagraph"/>
              <w:numPr>
                <w:ilvl w:val="0"/>
                <w:numId w:val="50"/>
              </w:numPr>
              <w:textAlignment w:val="center"/>
              <w:rPr>
                <w:rFonts w:eastAsia="Times New Roman" w:cs="Times New Roman"/>
                <w:color w:val="000000"/>
                <w:lang w:eastAsia="zh-TW"/>
              </w:rPr>
            </w:pPr>
            <w:r w:rsidRPr="006B0B3B">
              <w:rPr>
                <w:rFonts w:eastAsia="Times New Roman" w:cs="Times New Roman"/>
                <w:color w:val="000000"/>
                <w:lang w:eastAsia="zh-TW"/>
              </w:rPr>
              <w:t>UE should fall back to lowest index of minimum scheduling offset if UE is indicated invalid TDRA entry by DCI format 0_0 or 1_0</w:t>
            </w:r>
          </w:p>
          <w:p w14:paraId="68A832D9" w14:textId="77777777" w:rsidR="006B0B3B" w:rsidRDefault="00E17D7F" w:rsidP="006B0B3B">
            <w:pPr>
              <w:pStyle w:val="ListParagraph"/>
              <w:numPr>
                <w:ilvl w:val="0"/>
                <w:numId w:val="50"/>
              </w:numPr>
              <w:textAlignment w:val="center"/>
              <w:rPr>
                <w:rFonts w:eastAsia="Times New Roman" w:cs="Times New Roman"/>
                <w:color w:val="000000"/>
                <w:lang w:eastAsia="zh-TW"/>
              </w:rPr>
            </w:pPr>
            <w:r w:rsidRPr="006B0B3B">
              <w:rPr>
                <w:rFonts w:eastAsia="Times New Roman" w:cs="Times New Roman"/>
                <w:color w:val="000000"/>
                <w:lang w:eastAsia="zh-TW"/>
              </w:rPr>
              <w:t>If UE receives an DCI with a potentially valid TDRA entry index based on current minimum applicable value configuration, then UE follows minimum applicable value indication received in that DCI. It is up to UE whether to receive corresponding PDSCH or not.</w:t>
            </w:r>
          </w:p>
          <w:p w14:paraId="043758FE" w14:textId="59BB39C1" w:rsidR="00E17D7F" w:rsidRPr="006B0B3B" w:rsidRDefault="00E17D7F" w:rsidP="00F00682">
            <w:pPr>
              <w:pStyle w:val="ListParagraph"/>
              <w:numPr>
                <w:ilvl w:val="0"/>
                <w:numId w:val="50"/>
              </w:numPr>
              <w:textAlignment w:val="center"/>
              <w:rPr>
                <w:rFonts w:eastAsia="Times New Roman" w:cs="Times New Roman"/>
                <w:color w:val="000000"/>
                <w:lang w:eastAsia="zh-TW"/>
              </w:rPr>
            </w:pPr>
            <w:r w:rsidRPr="006B0B3B">
              <w:rPr>
                <w:rFonts w:eastAsia="Times New Roman" w:cs="Times New Roman"/>
                <w:color w:val="000000"/>
                <w:lang w:eastAsia="zh-TW"/>
              </w:rPr>
              <w:t xml:space="preserve">UE does not expect to receive at the same monitoring occasion DCI format 1-1 and format 0-1 with different 1-bit indications. </w:t>
            </w:r>
          </w:p>
        </w:tc>
        <w:tc>
          <w:tcPr>
            <w:tcW w:w="1248" w:type="dxa"/>
          </w:tcPr>
          <w:p w14:paraId="5A5DC723" w14:textId="7B8B56A8" w:rsidR="00E17D7F" w:rsidRDefault="00E17D7F" w:rsidP="006B0B3B">
            <w:pPr>
              <w:jc w:val="center"/>
              <w:rPr>
                <w:lang w:val="en-GB" w:eastAsia="en-US"/>
              </w:rPr>
            </w:pPr>
            <w:r>
              <w:rPr>
                <w:lang w:val="en-GB" w:eastAsia="en-US"/>
              </w:rPr>
              <w:t>Medium</w:t>
            </w:r>
          </w:p>
        </w:tc>
      </w:tr>
    </w:tbl>
    <w:p w14:paraId="49795F85" w14:textId="77777777" w:rsidR="00E17D7F" w:rsidRPr="00E17D7F" w:rsidRDefault="00E17D7F" w:rsidP="00965129">
      <w:pPr>
        <w:rPr>
          <w:rFonts w:asciiTheme="minorHAnsi" w:hAnsiTheme="minorHAnsi"/>
          <w:lang w:val="en-GB"/>
        </w:rPr>
      </w:pPr>
    </w:p>
    <w:p w14:paraId="54E3739C" w14:textId="77777777" w:rsidR="00E17D7F" w:rsidRDefault="00E17D7F" w:rsidP="00965129">
      <w:pPr>
        <w:rPr>
          <w:rFonts w:asciiTheme="minorHAnsi" w:hAnsiTheme="minorHAnsi"/>
        </w:rPr>
      </w:pPr>
    </w:p>
    <w:p w14:paraId="7E7BFF68" w14:textId="57C8D9FF" w:rsidR="00E17D7F" w:rsidRDefault="00E17D7F">
      <w:pPr>
        <w:rPr>
          <w:rFonts w:asciiTheme="minorHAnsi" w:hAnsiTheme="minorHAnsi"/>
        </w:rPr>
      </w:pPr>
      <w:r>
        <w:rPr>
          <w:rFonts w:asciiTheme="minorHAnsi" w:hAnsiTheme="minorHAnsi"/>
        </w:rPr>
        <w:br w:type="page"/>
      </w:r>
    </w:p>
    <w:p w14:paraId="597788A0" w14:textId="446A3013" w:rsidR="005D7715" w:rsidRPr="00A839FE" w:rsidRDefault="00E17D7F" w:rsidP="005D7715">
      <w:pPr>
        <w:pStyle w:val="Heading1"/>
        <w:rPr>
          <w:rFonts w:asciiTheme="minorHAnsi" w:hAnsiTheme="minorHAnsi"/>
          <w:color w:val="000000"/>
        </w:rPr>
      </w:pPr>
      <w:r>
        <w:rPr>
          <w:rFonts w:asciiTheme="minorHAnsi" w:hAnsiTheme="minorHAnsi"/>
        </w:rPr>
        <w:t>P</w:t>
      </w:r>
      <w:r w:rsidRPr="00E17D7F">
        <w:rPr>
          <w:rFonts w:asciiTheme="minorHAnsi" w:hAnsiTheme="minorHAnsi"/>
        </w:rPr>
        <w:t>otential extensions</w:t>
      </w:r>
      <w:r>
        <w:rPr>
          <w:rFonts w:asciiTheme="minorHAnsi" w:hAnsiTheme="minorHAnsi"/>
        </w:rPr>
        <w:t xml:space="preserve"> and editorials</w:t>
      </w:r>
    </w:p>
    <w:p w14:paraId="3B1A398D" w14:textId="0777CEEF" w:rsidR="00E17D7F" w:rsidRDefault="00E17D7F" w:rsidP="00460A86">
      <w:pPr>
        <w:autoSpaceDE w:val="0"/>
        <w:autoSpaceDN w:val="0"/>
        <w:spacing w:before="40" w:after="40"/>
        <w:rPr>
          <w:lang w:val="en-GB" w:eastAsia="en-US"/>
        </w:rPr>
      </w:pPr>
      <w:r>
        <w:rPr>
          <w:lang w:val="en-GB" w:eastAsia="en-US"/>
        </w:rPr>
        <w:t>The identified issues and their description for [100e-Pre-NR-UE-Pow-Sav-Cross-Slot</w:t>
      </w:r>
      <w:r>
        <w:rPr>
          <w:lang w:val="en-GB" w:eastAsia="en-US"/>
        </w:rPr>
        <w:t>-C</w:t>
      </w:r>
      <w:r>
        <w:rPr>
          <w:lang w:val="en-GB" w:eastAsia="en-US"/>
        </w:rPr>
        <w:t>] are summarized in</w:t>
      </w:r>
      <w:r>
        <w:rPr>
          <w:lang w:val="en-GB" w:eastAsia="en-US"/>
        </w:rPr>
        <w:t xml:space="preserve"> </w:t>
      </w:r>
      <w:r>
        <w:rPr>
          <w:lang w:val="en-GB" w:eastAsia="en-US"/>
        </w:rPr>
        <w:fldChar w:fldCharType="begin"/>
      </w:r>
      <w:r>
        <w:rPr>
          <w:lang w:val="en-GB" w:eastAsia="en-US"/>
        </w:rPr>
        <w:instrText xml:space="preserve"> REF _Ref32918461 \h </w:instrText>
      </w:r>
      <w:r>
        <w:rPr>
          <w:lang w:val="en-GB" w:eastAsia="en-US"/>
        </w:rPr>
      </w:r>
      <w:r>
        <w:rPr>
          <w:lang w:val="en-GB" w:eastAsia="en-US"/>
        </w:rPr>
        <w:fldChar w:fldCharType="separate"/>
      </w:r>
      <w:r>
        <w:t xml:space="preserve">Table </w:t>
      </w:r>
      <w:r>
        <w:rPr>
          <w:noProof/>
        </w:rPr>
        <w:t>3</w:t>
      </w:r>
      <w:r>
        <w:rPr>
          <w:lang w:val="en-GB" w:eastAsia="en-US"/>
        </w:rPr>
        <w:fldChar w:fldCharType="end"/>
      </w:r>
      <w:r>
        <w:rPr>
          <w:lang w:val="en-GB" w:eastAsia="en-US"/>
        </w:rPr>
        <w:t>:</w:t>
      </w:r>
    </w:p>
    <w:p w14:paraId="781EA69E" w14:textId="77777777" w:rsidR="00E17D7F" w:rsidRDefault="00E17D7F" w:rsidP="00460A86">
      <w:pPr>
        <w:autoSpaceDE w:val="0"/>
        <w:autoSpaceDN w:val="0"/>
        <w:spacing w:before="40" w:after="40"/>
        <w:rPr>
          <w:rFonts w:asciiTheme="minorHAnsi" w:hAnsiTheme="minorHAnsi"/>
          <w:lang w:eastAsia="en-US"/>
        </w:rPr>
      </w:pPr>
    </w:p>
    <w:p w14:paraId="206E8936" w14:textId="0BE09B35" w:rsidR="00E17D7F" w:rsidRDefault="00E17D7F" w:rsidP="00E17D7F">
      <w:pPr>
        <w:pStyle w:val="Caption"/>
        <w:keepNext/>
        <w:jc w:val="center"/>
      </w:pPr>
      <w:bookmarkStart w:id="5" w:name="_Ref32918461"/>
      <w:r>
        <w:t xml:space="preserve">Table </w:t>
      </w:r>
      <w:r>
        <w:fldChar w:fldCharType="begin"/>
      </w:r>
      <w:r>
        <w:instrText xml:space="preserve"> SEQ Table \* ARABIC </w:instrText>
      </w:r>
      <w:r>
        <w:fldChar w:fldCharType="separate"/>
      </w:r>
      <w:r>
        <w:rPr>
          <w:noProof/>
        </w:rPr>
        <w:t>3</w:t>
      </w:r>
      <w:r>
        <w:fldChar w:fldCharType="end"/>
      </w:r>
      <w:bookmarkEnd w:id="5"/>
      <w:r>
        <w:t xml:space="preserve">: </w:t>
      </w:r>
      <w:r w:rsidRPr="00B674FD">
        <w:t>[100e-Pre-NR-UE-Pow-Sav-Cross-Slot-C]: Potential extensions and editorials</w:t>
      </w:r>
    </w:p>
    <w:tbl>
      <w:tblPr>
        <w:tblStyle w:val="TableGrid"/>
        <w:tblW w:w="0" w:type="auto"/>
        <w:tblLook w:val="04A0" w:firstRow="1" w:lastRow="0" w:firstColumn="1" w:lastColumn="0" w:noHBand="0" w:noVBand="1"/>
      </w:tblPr>
      <w:tblGrid>
        <w:gridCol w:w="562"/>
        <w:gridCol w:w="2268"/>
        <w:gridCol w:w="6379"/>
        <w:gridCol w:w="1248"/>
      </w:tblGrid>
      <w:tr w:rsidR="00E17D7F" w14:paraId="26546AEA" w14:textId="77777777" w:rsidTr="00E17D7F">
        <w:tc>
          <w:tcPr>
            <w:tcW w:w="2830" w:type="dxa"/>
            <w:gridSpan w:val="2"/>
          </w:tcPr>
          <w:p w14:paraId="4B428AB2" w14:textId="77777777" w:rsidR="00E17D7F" w:rsidRPr="00E17D7F" w:rsidRDefault="00E17D7F" w:rsidP="00F00682">
            <w:pPr>
              <w:jc w:val="center"/>
              <w:rPr>
                <w:b/>
                <w:lang w:val="en-GB" w:eastAsia="en-US"/>
              </w:rPr>
            </w:pPr>
            <w:r>
              <w:rPr>
                <w:b/>
                <w:lang w:val="en-GB" w:eastAsia="en-US"/>
              </w:rPr>
              <w:t>Issue</w:t>
            </w:r>
          </w:p>
        </w:tc>
        <w:tc>
          <w:tcPr>
            <w:tcW w:w="6379" w:type="dxa"/>
          </w:tcPr>
          <w:p w14:paraId="52CFB0E5" w14:textId="77777777" w:rsidR="00E17D7F" w:rsidRPr="00E17D7F" w:rsidRDefault="00E17D7F" w:rsidP="00F00682">
            <w:pPr>
              <w:jc w:val="center"/>
              <w:rPr>
                <w:b/>
                <w:lang w:val="en-GB" w:eastAsia="en-US"/>
              </w:rPr>
            </w:pPr>
            <w:r w:rsidRPr="00E17D7F">
              <w:rPr>
                <w:b/>
                <w:lang w:val="en-GB" w:eastAsia="en-US"/>
              </w:rPr>
              <w:t>Description</w:t>
            </w:r>
          </w:p>
        </w:tc>
        <w:tc>
          <w:tcPr>
            <w:tcW w:w="1248" w:type="dxa"/>
          </w:tcPr>
          <w:p w14:paraId="04C2200E" w14:textId="77777777" w:rsidR="00E17D7F" w:rsidRPr="00E17D7F" w:rsidRDefault="00E17D7F" w:rsidP="00F00682">
            <w:pPr>
              <w:jc w:val="center"/>
              <w:rPr>
                <w:b/>
                <w:lang w:val="en-GB" w:eastAsia="en-US"/>
              </w:rPr>
            </w:pPr>
            <w:r w:rsidRPr="00E17D7F">
              <w:rPr>
                <w:b/>
                <w:lang w:val="en-GB" w:eastAsia="en-US"/>
              </w:rPr>
              <w:t>Priority</w:t>
            </w:r>
          </w:p>
        </w:tc>
      </w:tr>
      <w:tr w:rsidR="00E17D7F" w14:paraId="5F4B12CD" w14:textId="77777777" w:rsidTr="00E17D7F">
        <w:tc>
          <w:tcPr>
            <w:tcW w:w="562" w:type="dxa"/>
          </w:tcPr>
          <w:p w14:paraId="0F9664D5" w14:textId="1B8A6C2C" w:rsidR="00E17D7F" w:rsidRDefault="00E17D7F" w:rsidP="006B0B3B">
            <w:pPr>
              <w:jc w:val="center"/>
              <w:rPr>
                <w:lang w:val="en-GB" w:eastAsia="en-US"/>
              </w:rPr>
            </w:pPr>
            <w:r>
              <w:rPr>
                <w:lang w:val="en-GB" w:eastAsia="en-US"/>
              </w:rPr>
              <w:t>C1</w:t>
            </w:r>
          </w:p>
        </w:tc>
        <w:tc>
          <w:tcPr>
            <w:tcW w:w="2268" w:type="dxa"/>
          </w:tcPr>
          <w:p w14:paraId="17A70058" w14:textId="1AC24BD8" w:rsidR="00E17D7F" w:rsidRPr="00E17D7F" w:rsidRDefault="00E17D7F" w:rsidP="00F00682">
            <w:pPr>
              <w:rPr>
                <w:lang w:val="en-GB" w:eastAsia="en-US"/>
              </w:rPr>
            </w:pPr>
            <w:r>
              <w:rPr>
                <w:lang w:val="en-GB" w:eastAsia="en-US"/>
              </w:rPr>
              <w:t>Potential extensi</w:t>
            </w:r>
            <w:bookmarkStart w:id="6" w:name="_GoBack"/>
            <w:bookmarkEnd w:id="6"/>
            <w:r>
              <w:rPr>
                <w:lang w:val="en-GB" w:eastAsia="en-US"/>
              </w:rPr>
              <w:t>ons</w:t>
            </w:r>
          </w:p>
        </w:tc>
        <w:tc>
          <w:tcPr>
            <w:tcW w:w="6379" w:type="dxa"/>
          </w:tcPr>
          <w:p w14:paraId="39FB7494" w14:textId="3BF40099" w:rsidR="00E17D7F" w:rsidRPr="00E17D7F" w:rsidRDefault="00E17D7F" w:rsidP="00E17D7F">
            <w:pPr>
              <w:rPr>
                <w:rFonts w:eastAsia="Times New Roman" w:cs="Times New Roman"/>
                <w:color w:val="000000"/>
                <w:lang w:eastAsia="zh-TW"/>
              </w:rPr>
            </w:pPr>
            <w:r>
              <w:rPr>
                <w:rFonts w:eastAsia="Times New Roman" w:cs="Times New Roman"/>
                <w:color w:val="000000"/>
                <w:lang w:eastAsia="zh-TW"/>
              </w:rPr>
              <w:t>Discussion and specify, if agreed,</w:t>
            </w:r>
          </w:p>
          <w:p w14:paraId="18204971" w14:textId="2B30ECE6" w:rsidR="00E17D7F" w:rsidRDefault="00E17D7F" w:rsidP="00E17D7F">
            <w:pPr>
              <w:pStyle w:val="ListParagraph"/>
              <w:numPr>
                <w:ilvl w:val="0"/>
                <w:numId w:val="47"/>
              </w:numPr>
              <w:rPr>
                <w:rFonts w:eastAsia="Times New Roman" w:cs="Times New Roman"/>
                <w:color w:val="000000"/>
                <w:lang w:eastAsia="zh-TW"/>
              </w:rPr>
            </w:pPr>
            <w:r>
              <w:rPr>
                <w:rFonts w:eastAsia="Times New Roman" w:cs="Times New Roman"/>
                <w:color w:val="000000"/>
                <w:lang w:eastAsia="zh-TW"/>
              </w:rPr>
              <w:t>A</w:t>
            </w:r>
            <w:r w:rsidRPr="00E17D7F">
              <w:rPr>
                <w:rFonts w:eastAsia="Times New Roman" w:cs="Times New Roman"/>
                <w:color w:val="000000"/>
                <w:lang w:eastAsia="zh-TW"/>
              </w:rPr>
              <w:t>llo</w:t>
            </w:r>
            <w:r>
              <w:rPr>
                <w:rFonts w:eastAsia="Times New Roman" w:cs="Times New Roman"/>
                <w:color w:val="000000"/>
                <w:lang w:eastAsia="zh-TW"/>
              </w:rPr>
              <w:t>wing</w:t>
            </w:r>
            <w:r w:rsidRPr="00E17D7F">
              <w:rPr>
                <w:rFonts w:eastAsia="Times New Roman" w:cs="Times New Roman"/>
                <w:color w:val="000000"/>
                <w:lang w:eastAsia="zh-TW"/>
              </w:rPr>
              <w:t xml:space="preserve"> more </w:t>
            </w:r>
            <w:r>
              <w:rPr>
                <w:rFonts w:eastAsia="Times New Roman" w:cs="Times New Roman"/>
                <w:color w:val="000000"/>
                <w:lang w:eastAsia="zh-TW"/>
              </w:rPr>
              <w:t xml:space="preserve">smaller candidate values for </w:t>
            </w:r>
            <w:r w:rsidRPr="00E17D7F">
              <w:rPr>
                <w:rFonts w:eastAsia="Times New Roman" w:cs="Times New Roman"/>
                <w:color w:val="000000"/>
                <w:lang w:eastAsia="zh-TW"/>
              </w:rPr>
              <w:t>K</w:t>
            </w:r>
            <w:r>
              <w:rPr>
                <w:rFonts w:eastAsia="Times New Roman" w:cs="Times New Roman"/>
                <w:color w:val="000000"/>
                <w:lang w:eastAsia="zh-TW"/>
              </w:rPr>
              <w:t>_</w:t>
            </w:r>
            <w:r w:rsidRPr="00E17D7F">
              <w:rPr>
                <w:rFonts w:eastAsia="Times New Roman" w:cs="Times New Roman"/>
                <w:color w:val="000000"/>
                <w:lang w:eastAsia="zh-TW"/>
              </w:rPr>
              <w:t>0</w:t>
            </w:r>
            <w:r>
              <w:rPr>
                <w:rFonts w:eastAsia="Times New Roman" w:cs="Times New Roman"/>
                <w:color w:val="000000"/>
                <w:lang w:eastAsia="zh-TW"/>
              </w:rPr>
              <w:t>min</w:t>
            </w:r>
            <w:r w:rsidRPr="00E17D7F">
              <w:rPr>
                <w:rFonts w:eastAsia="Times New Roman" w:cs="Times New Roman"/>
                <w:color w:val="000000"/>
                <w:lang w:eastAsia="zh-TW"/>
              </w:rPr>
              <w:t xml:space="preserve"> to avoid excess </w:t>
            </w:r>
            <w:r>
              <w:rPr>
                <w:rFonts w:eastAsia="Times New Roman" w:cs="Times New Roman"/>
                <w:color w:val="000000"/>
                <w:lang w:eastAsia="zh-TW"/>
              </w:rPr>
              <w:t xml:space="preserve">A-CSI-RS </w:t>
            </w:r>
            <w:r w:rsidRPr="00E17D7F">
              <w:rPr>
                <w:rFonts w:eastAsia="Times New Roman" w:cs="Times New Roman"/>
                <w:color w:val="000000"/>
                <w:lang w:eastAsia="zh-TW"/>
              </w:rPr>
              <w:t>triggering delay</w:t>
            </w:r>
          </w:p>
          <w:p w14:paraId="707B01A8" w14:textId="77777777" w:rsidR="00E17D7F" w:rsidRDefault="00E17D7F" w:rsidP="00E17D7F">
            <w:pPr>
              <w:pStyle w:val="ListParagraph"/>
              <w:numPr>
                <w:ilvl w:val="1"/>
                <w:numId w:val="47"/>
              </w:numPr>
              <w:rPr>
                <w:rFonts w:eastAsia="Times New Roman" w:cs="Times New Roman"/>
                <w:color w:val="000000"/>
                <w:lang w:eastAsia="zh-TW"/>
              </w:rPr>
            </w:pPr>
            <w:r w:rsidRPr="00E17D7F">
              <w:rPr>
                <w:rFonts w:eastAsia="Times New Roman" w:cs="Times New Roman"/>
                <w:color w:val="000000"/>
                <w:lang w:eastAsia="zh-TW"/>
              </w:rPr>
              <w:t>{0, 1, 2, 3, 4, 16, 24} -&gt; {0, 1, 2, 3, 4, 5, 6, …, 16, 24}</w:t>
            </w:r>
          </w:p>
          <w:p w14:paraId="2F0B7C87" w14:textId="1D8FAA37" w:rsidR="00E17D7F" w:rsidRPr="00E17D7F" w:rsidRDefault="00E17D7F" w:rsidP="00E17D7F">
            <w:pPr>
              <w:numPr>
                <w:ilvl w:val="0"/>
                <w:numId w:val="47"/>
              </w:numPr>
              <w:textAlignment w:val="center"/>
              <w:rPr>
                <w:rFonts w:eastAsia="Times New Roman" w:cs="Times New Roman"/>
                <w:color w:val="000000"/>
                <w:lang w:eastAsia="zh-TW"/>
              </w:rPr>
            </w:pPr>
            <w:r w:rsidRPr="00E17D7F">
              <w:rPr>
                <w:rFonts w:eastAsia="Times New Roman" w:cs="Times New Roman"/>
                <w:color w:val="000000"/>
                <w:lang w:eastAsia="zh-TW"/>
              </w:rPr>
              <w:t xml:space="preserve">Support applying minimum scheduling offset restriction of K2 to A-SRS so that UE can expect that DCI would not trigger transmission of A-SRS resource(s) with slotOffset&lt; </w:t>
            </w:r>
            <w:r>
              <w:rPr>
                <w:rFonts w:eastAsia="Times New Roman" w:cs="Times New Roman"/>
                <w:color w:val="000000"/>
                <w:lang w:eastAsia="zh-TW"/>
              </w:rPr>
              <w:t>m</w:t>
            </w:r>
            <w:r w:rsidRPr="00E17D7F">
              <w:rPr>
                <w:rFonts w:eastAsia="Times New Roman" w:cs="Times New Roman"/>
                <w:color w:val="000000"/>
                <w:lang w:eastAsia="zh-TW"/>
              </w:rPr>
              <w:t xml:space="preserve">inimumSchedulingOffset. </w:t>
            </w:r>
          </w:p>
          <w:p w14:paraId="66B50887" w14:textId="77777777" w:rsidR="00E17D7F" w:rsidRPr="00E17D7F" w:rsidRDefault="00E17D7F" w:rsidP="00E17D7F">
            <w:pPr>
              <w:numPr>
                <w:ilvl w:val="0"/>
                <w:numId w:val="47"/>
              </w:numPr>
              <w:textAlignment w:val="center"/>
              <w:rPr>
                <w:rFonts w:eastAsia="Times New Roman" w:cs="Times New Roman"/>
                <w:color w:val="000000"/>
                <w:lang w:eastAsia="zh-TW"/>
              </w:rPr>
            </w:pPr>
            <w:r w:rsidRPr="00E17D7F">
              <w:rPr>
                <w:rFonts w:eastAsia="Times New Roman" w:cs="Times New Roman"/>
                <w:color w:val="000000"/>
                <w:lang w:eastAsia="zh-TW"/>
              </w:rPr>
              <w:t xml:space="preserve">Support cross-slot scheduling also for the new Rel-16 DCI formats 0_2 and 1_2 </w:t>
            </w:r>
          </w:p>
          <w:p w14:paraId="5AB3227B" w14:textId="070C150D" w:rsidR="00E17D7F" w:rsidRPr="00E17D7F" w:rsidRDefault="00E17D7F" w:rsidP="00E17D7F">
            <w:pPr>
              <w:numPr>
                <w:ilvl w:val="0"/>
                <w:numId w:val="47"/>
              </w:numPr>
              <w:textAlignment w:val="center"/>
              <w:rPr>
                <w:rFonts w:eastAsia="Times New Roman" w:cs="Times New Roman"/>
                <w:color w:val="000000"/>
                <w:lang w:eastAsia="zh-TW"/>
              </w:rPr>
            </w:pPr>
            <w:r w:rsidRPr="00E17D7F">
              <w:rPr>
                <w:rFonts w:eastAsia="Times New Roman" w:cs="Times New Roman"/>
                <w:color w:val="000000"/>
                <w:lang w:eastAsia="zh-TW"/>
              </w:rPr>
              <w:t>Adaptation per 1st da</w:t>
            </w:r>
            <w:r>
              <w:rPr>
                <w:rFonts w:eastAsia="Times New Roman" w:cs="Times New Roman"/>
                <w:color w:val="000000"/>
                <w:lang w:eastAsia="zh-TW"/>
              </w:rPr>
              <w:t>ta arrival in a DRX cycle</w:t>
            </w:r>
          </w:p>
          <w:p w14:paraId="253EA153" w14:textId="77777777" w:rsidR="00E17D7F" w:rsidRPr="00E17D7F" w:rsidRDefault="00E17D7F" w:rsidP="00E17D7F">
            <w:pPr>
              <w:numPr>
                <w:ilvl w:val="1"/>
                <w:numId w:val="47"/>
              </w:numPr>
              <w:textAlignment w:val="center"/>
              <w:rPr>
                <w:rFonts w:eastAsia="Times New Roman" w:cs="Times New Roman"/>
                <w:color w:val="000000"/>
                <w:lang w:eastAsia="zh-TW"/>
              </w:rPr>
            </w:pPr>
            <w:r w:rsidRPr="00E17D7F">
              <w:rPr>
                <w:rFonts w:eastAsia="Times New Roman" w:cs="Times New Roman"/>
                <w:color w:val="000000"/>
                <w:lang w:eastAsia="zh-TW"/>
              </w:rPr>
              <w:t>Upon detecting PDCCH WUS indicating UE to wake up in the upcoming DRX OnDuration, UE automatically switch to same-slot scheduling in the upcoming DRX OnDuration. This mechanism can be switched on/off by network.</w:t>
            </w:r>
          </w:p>
          <w:p w14:paraId="7A547672" w14:textId="10203772" w:rsidR="00E17D7F" w:rsidRPr="00E17D7F" w:rsidRDefault="00E17D7F" w:rsidP="00E17D7F">
            <w:pPr>
              <w:numPr>
                <w:ilvl w:val="1"/>
                <w:numId w:val="47"/>
              </w:numPr>
              <w:textAlignment w:val="center"/>
              <w:rPr>
                <w:rFonts w:eastAsia="Times New Roman" w:cs="Times New Roman"/>
                <w:color w:val="000000"/>
                <w:lang w:eastAsia="zh-TW"/>
              </w:rPr>
            </w:pPr>
            <w:r w:rsidRPr="00E17D7F">
              <w:rPr>
                <w:rFonts w:eastAsia="Times New Roman" w:cs="Times New Roman"/>
                <w:color w:val="000000"/>
                <w:lang w:eastAsia="zh-TW"/>
              </w:rPr>
              <w:t>If PDCCH WUS for CDRX is not configured, upon UE receives new transmission in DRX OnDuration, UE automatically switch to same-slot scheduling. This mechanism can be switched on/off by network.</w:t>
            </w:r>
          </w:p>
        </w:tc>
        <w:tc>
          <w:tcPr>
            <w:tcW w:w="1248" w:type="dxa"/>
          </w:tcPr>
          <w:p w14:paraId="1550FEC9" w14:textId="5CFE05C8" w:rsidR="00E17D7F" w:rsidRDefault="00E17D7F" w:rsidP="006B0B3B">
            <w:pPr>
              <w:jc w:val="center"/>
              <w:rPr>
                <w:lang w:val="en-GB" w:eastAsia="en-US"/>
              </w:rPr>
            </w:pPr>
            <w:r>
              <w:rPr>
                <w:lang w:val="en-GB" w:eastAsia="en-US"/>
              </w:rPr>
              <w:t>Medium</w:t>
            </w:r>
          </w:p>
        </w:tc>
      </w:tr>
      <w:tr w:rsidR="00E17D7F" w14:paraId="5AC8FE8E" w14:textId="77777777" w:rsidTr="00E17D7F">
        <w:tc>
          <w:tcPr>
            <w:tcW w:w="562" w:type="dxa"/>
          </w:tcPr>
          <w:p w14:paraId="5E1D1BA3" w14:textId="34098767" w:rsidR="00E17D7F" w:rsidRDefault="00E17D7F" w:rsidP="006B0B3B">
            <w:pPr>
              <w:jc w:val="center"/>
              <w:rPr>
                <w:lang w:val="en-GB" w:eastAsia="en-US"/>
              </w:rPr>
            </w:pPr>
            <w:r>
              <w:rPr>
                <w:lang w:val="en-GB" w:eastAsia="en-US"/>
              </w:rPr>
              <w:t>C2</w:t>
            </w:r>
          </w:p>
        </w:tc>
        <w:tc>
          <w:tcPr>
            <w:tcW w:w="2268" w:type="dxa"/>
          </w:tcPr>
          <w:p w14:paraId="1DBA1BE7" w14:textId="3213EACF" w:rsidR="00E17D7F" w:rsidRDefault="00E17D7F" w:rsidP="00E17D7F">
            <w:pPr>
              <w:rPr>
                <w:lang w:val="en-GB" w:eastAsia="en-US"/>
              </w:rPr>
            </w:pPr>
            <w:r>
              <w:rPr>
                <w:lang w:val="en-GB" w:eastAsia="en-US"/>
              </w:rPr>
              <w:t>Editorial suggestions</w:t>
            </w:r>
          </w:p>
        </w:tc>
        <w:tc>
          <w:tcPr>
            <w:tcW w:w="6379" w:type="dxa"/>
          </w:tcPr>
          <w:p w14:paraId="4123D161" w14:textId="77777777" w:rsidR="00E17D7F" w:rsidRDefault="00E17D7F" w:rsidP="00E17D7F">
            <w:pPr>
              <w:pStyle w:val="ListParagraph"/>
              <w:numPr>
                <w:ilvl w:val="0"/>
                <w:numId w:val="45"/>
              </w:numPr>
              <w:rPr>
                <w:lang w:val="en-GB" w:eastAsia="en-US"/>
              </w:rPr>
            </w:pPr>
            <w:r>
              <w:rPr>
                <w:lang w:val="en-GB" w:eastAsia="en-US"/>
              </w:rPr>
              <w:t xml:space="preserve">Section 5.3.1 of 38.214: </w:t>
            </w:r>
          </w:p>
          <w:p w14:paraId="16244956" w14:textId="77777777" w:rsidR="00E17D7F" w:rsidRDefault="00E17D7F" w:rsidP="00E17D7F">
            <w:pPr>
              <w:pStyle w:val="ListParagraph"/>
              <w:numPr>
                <w:ilvl w:val="1"/>
                <w:numId w:val="45"/>
              </w:numPr>
              <w:rPr>
                <w:lang w:val="en-GB" w:eastAsia="en-US"/>
              </w:rPr>
            </w:pPr>
            <w:r>
              <w:rPr>
                <w:color w:val="000000"/>
              </w:rPr>
              <w:t>Remove s</w:t>
            </w:r>
            <w:r>
              <w:rPr>
                <w:rFonts w:hint="eastAsia"/>
                <w:color w:val="000000"/>
              </w:rPr>
              <w:t xml:space="preserve">quare brackets around </w:t>
            </w:r>
            <w:r>
              <w:rPr>
                <w:rFonts w:hint="eastAsia"/>
                <w:color w:val="000000"/>
              </w:rPr>
              <w:t>“</w:t>
            </w:r>
            <w:r>
              <w:rPr>
                <w:rFonts w:hint="eastAsia"/>
                <w:color w:val="000000"/>
              </w:rPr>
              <w:t>Minimum applicable scheduling offset indicator</w:t>
            </w:r>
            <w:r>
              <w:rPr>
                <w:rFonts w:hint="eastAsia"/>
                <w:color w:val="000000"/>
              </w:rPr>
              <w:t>”</w:t>
            </w:r>
          </w:p>
          <w:p w14:paraId="091E2C95" w14:textId="77777777" w:rsidR="00E17D7F" w:rsidRPr="00E17D7F" w:rsidRDefault="00E17D7F" w:rsidP="00E17D7F">
            <w:pPr>
              <w:pStyle w:val="ListParagraph"/>
              <w:numPr>
                <w:ilvl w:val="1"/>
                <w:numId w:val="45"/>
              </w:numPr>
              <w:rPr>
                <w:lang w:val="en-GB" w:eastAsia="en-US"/>
              </w:rPr>
            </w:pPr>
            <w:r>
              <w:rPr>
                <w:lang w:val="en-GB" w:eastAsia="en-US"/>
              </w:rPr>
              <w:t>Remove square brackets for Z value table</w:t>
            </w:r>
          </w:p>
          <w:p w14:paraId="25810AAB" w14:textId="65A0F66A" w:rsidR="00E17D7F" w:rsidRPr="00E17D7F" w:rsidRDefault="00E17D7F" w:rsidP="00E17D7F">
            <w:pPr>
              <w:pStyle w:val="ListParagraph"/>
              <w:numPr>
                <w:ilvl w:val="0"/>
                <w:numId w:val="45"/>
              </w:numPr>
              <w:rPr>
                <w:lang w:eastAsia="en-US"/>
              </w:rPr>
            </w:pPr>
            <w:r w:rsidRPr="00E17D7F">
              <w:rPr>
                <w:lang w:val="en-GB" w:eastAsia="en-US"/>
              </w:rPr>
              <w:t>38.212: Clarification for “minimumSchedulingOffset”</w:t>
            </w:r>
          </w:p>
        </w:tc>
        <w:tc>
          <w:tcPr>
            <w:tcW w:w="1248" w:type="dxa"/>
          </w:tcPr>
          <w:p w14:paraId="62831BA9" w14:textId="682603D0" w:rsidR="00E17D7F" w:rsidRDefault="00E17D7F" w:rsidP="006B0B3B">
            <w:pPr>
              <w:jc w:val="center"/>
              <w:rPr>
                <w:lang w:val="en-GB" w:eastAsia="en-US"/>
              </w:rPr>
            </w:pPr>
            <w:r>
              <w:rPr>
                <w:lang w:val="en-GB" w:eastAsia="en-US"/>
              </w:rPr>
              <w:t>Low</w:t>
            </w:r>
          </w:p>
        </w:tc>
      </w:tr>
    </w:tbl>
    <w:p w14:paraId="5C231A93" w14:textId="77777777" w:rsidR="00E17D7F" w:rsidRDefault="00E17D7F" w:rsidP="00460A86">
      <w:pPr>
        <w:autoSpaceDE w:val="0"/>
        <w:autoSpaceDN w:val="0"/>
        <w:spacing w:before="40" w:after="40"/>
        <w:rPr>
          <w:rFonts w:asciiTheme="minorHAnsi" w:hAnsiTheme="minorHAnsi"/>
          <w:lang w:eastAsia="en-US"/>
        </w:rPr>
      </w:pPr>
    </w:p>
    <w:p w14:paraId="750377EE" w14:textId="3023BD45" w:rsidR="007D738D" w:rsidRPr="00E17D7F" w:rsidRDefault="007D738D" w:rsidP="00E17D7F">
      <w:pPr>
        <w:rPr>
          <w:bCs/>
        </w:rPr>
      </w:pPr>
      <w:r w:rsidRPr="00E17D7F">
        <w:rPr>
          <w:bCs/>
        </w:rPr>
        <w:t xml:space="preserve"> </w:t>
      </w:r>
    </w:p>
    <w:p w14:paraId="589C0686" w14:textId="5B3E5420" w:rsidR="00E17D7F" w:rsidRDefault="00E17D7F">
      <w:pPr>
        <w:rPr>
          <w:lang w:eastAsia="en-US"/>
        </w:rPr>
      </w:pPr>
      <w:r>
        <w:rPr>
          <w:lang w:eastAsia="en-US"/>
        </w:rPr>
        <w:br w:type="page"/>
      </w: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709DF676" w14:textId="4A481FCD" w:rsidR="004C664B" w:rsidRPr="004C664B" w:rsidRDefault="004C664B" w:rsidP="004C664B">
      <w:pPr>
        <w:pStyle w:val="ListParagraph"/>
        <w:numPr>
          <w:ilvl w:val="0"/>
          <w:numId w:val="2"/>
        </w:numPr>
        <w:rPr>
          <w:rFonts w:asciiTheme="minorHAnsi" w:hAnsiTheme="minorHAnsi"/>
        </w:rPr>
      </w:pPr>
      <w:bookmarkStart w:id="7" w:name="_Ref5182175"/>
      <w:bookmarkStart w:id="8" w:name="_Ref7810841"/>
      <w:bookmarkStart w:id="9" w:name="_Ref16938089"/>
      <w:bookmarkStart w:id="10" w:name="_Ref21045654"/>
      <w:bookmarkStart w:id="11" w:name="_Ref32919057"/>
      <w:r>
        <w:rPr>
          <w:rFonts w:asciiTheme="minorHAnsi" w:hAnsiTheme="minorHAnsi"/>
        </w:rPr>
        <w:t>R1-2000180, “</w:t>
      </w:r>
      <w:r w:rsidRPr="004C664B">
        <w:rPr>
          <w:rFonts w:asciiTheme="minorHAnsi" w:hAnsiTheme="minorHAnsi"/>
        </w:rPr>
        <w:t>Corrections on cross-slot scheduling based power saving</w:t>
      </w:r>
      <w:r>
        <w:rPr>
          <w:rFonts w:asciiTheme="minorHAnsi" w:hAnsiTheme="minorHAnsi"/>
        </w:rPr>
        <w:t xml:space="preserve">”, </w:t>
      </w:r>
      <w:r w:rsidRPr="004C664B">
        <w:rPr>
          <w:rFonts w:asciiTheme="minorHAnsi" w:hAnsiTheme="minorHAnsi"/>
        </w:rPr>
        <w:t>Huawei, HiSilicon</w:t>
      </w:r>
      <w:r>
        <w:rPr>
          <w:rFonts w:asciiTheme="minorHAnsi" w:hAnsiTheme="minorHAnsi"/>
        </w:rPr>
        <w:t>, RAN1#100-e</w:t>
      </w:r>
      <w:bookmarkEnd w:id="11"/>
    </w:p>
    <w:p w14:paraId="77050AAB" w14:textId="4F05C4D2" w:rsidR="004C664B" w:rsidRPr="004C664B" w:rsidRDefault="004C664B" w:rsidP="004C664B">
      <w:pPr>
        <w:pStyle w:val="ListParagraph"/>
        <w:numPr>
          <w:ilvl w:val="0"/>
          <w:numId w:val="2"/>
        </w:numPr>
        <w:rPr>
          <w:rFonts w:asciiTheme="minorHAnsi" w:hAnsiTheme="minorHAnsi"/>
        </w:rPr>
      </w:pPr>
      <w:r w:rsidRPr="004C664B">
        <w:rPr>
          <w:rFonts w:asciiTheme="minorHAnsi" w:hAnsiTheme="minorHAnsi"/>
        </w:rPr>
        <w:t>R1-2000338</w:t>
      </w:r>
      <w:r>
        <w:rPr>
          <w:rFonts w:asciiTheme="minorHAnsi" w:hAnsiTheme="minorHAnsi"/>
        </w:rPr>
        <w:t>, “</w:t>
      </w:r>
      <w:r w:rsidRPr="004C664B">
        <w:rPr>
          <w:rFonts w:asciiTheme="minorHAnsi" w:hAnsiTheme="minorHAnsi"/>
        </w:rPr>
        <w:t>Maintenance of procedure of cross-slot scheduling power saving techniques</w:t>
      </w:r>
      <w:r>
        <w:rPr>
          <w:rFonts w:asciiTheme="minorHAnsi" w:hAnsiTheme="minorHAnsi"/>
        </w:rPr>
        <w:t xml:space="preserve">”, </w:t>
      </w:r>
      <w:r w:rsidRPr="004C664B">
        <w:rPr>
          <w:rFonts w:asciiTheme="minorHAnsi" w:hAnsiTheme="minorHAnsi"/>
        </w:rPr>
        <w:t>vivo</w:t>
      </w:r>
      <w:r>
        <w:rPr>
          <w:rFonts w:asciiTheme="minorHAnsi" w:hAnsiTheme="minorHAnsi"/>
        </w:rPr>
        <w:t>, RAN1#100-e</w:t>
      </w:r>
    </w:p>
    <w:p w14:paraId="1777416D" w14:textId="4F6633FE" w:rsidR="004C664B" w:rsidRPr="004C664B" w:rsidRDefault="004C664B" w:rsidP="004C664B">
      <w:pPr>
        <w:pStyle w:val="ListParagraph"/>
        <w:numPr>
          <w:ilvl w:val="0"/>
          <w:numId w:val="2"/>
        </w:numPr>
        <w:rPr>
          <w:rFonts w:asciiTheme="minorHAnsi" w:hAnsiTheme="minorHAnsi"/>
        </w:rPr>
      </w:pPr>
      <w:r w:rsidRPr="004C664B">
        <w:rPr>
          <w:rFonts w:asciiTheme="minorHAnsi" w:hAnsiTheme="minorHAnsi"/>
        </w:rPr>
        <w:t>R1-2000444</w:t>
      </w:r>
      <w:r>
        <w:rPr>
          <w:rFonts w:asciiTheme="minorHAnsi" w:hAnsiTheme="minorHAnsi"/>
        </w:rPr>
        <w:t>, “</w:t>
      </w:r>
      <w:r w:rsidRPr="004C664B">
        <w:rPr>
          <w:rFonts w:asciiTheme="minorHAnsi" w:hAnsiTheme="minorHAnsi"/>
        </w:rPr>
        <w:t>Remaining issues on cross-slot scheduling adaptation</w:t>
      </w:r>
      <w:r>
        <w:rPr>
          <w:rFonts w:asciiTheme="minorHAnsi" w:hAnsiTheme="minorHAnsi"/>
        </w:rPr>
        <w:t xml:space="preserve">”, </w:t>
      </w:r>
      <w:r w:rsidRPr="004C664B">
        <w:rPr>
          <w:rFonts w:asciiTheme="minorHAnsi" w:hAnsiTheme="minorHAnsi"/>
        </w:rPr>
        <w:t>MediaTek Inc.</w:t>
      </w:r>
      <w:r>
        <w:rPr>
          <w:rFonts w:asciiTheme="minorHAnsi" w:hAnsiTheme="minorHAnsi"/>
        </w:rPr>
        <w:t>, RAN1#100-e</w:t>
      </w:r>
    </w:p>
    <w:p w14:paraId="5515BD73" w14:textId="43DA6F43"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R1-2000455, “</w:t>
      </w:r>
      <w:r w:rsidRPr="004C664B">
        <w:rPr>
          <w:rFonts w:asciiTheme="minorHAnsi" w:hAnsiTheme="minorHAnsi"/>
        </w:rPr>
        <w:t>Clarification on cross-slot scheduling</w:t>
      </w:r>
      <w:r>
        <w:rPr>
          <w:rFonts w:asciiTheme="minorHAnsi" w:hAnsiTheme="minorHAnsi"/>
        </w:rPr>
        <w:t xml:space="preserve">”, </w:t>
      </w:r>
      <w:r w:rsidRPr="004C664B">
        <w:rPr>
          <w:rFonts w:asciiTheme="minorHAnsi" w:hAnsiTheme="minorHAnsi"/>
        </w:rPr>
        <w:t>Spreadtrum Communications</w:t>
      </w:r>
      <w:r>
        <w:rPr>
          <w:rFonts w:asciiTheme="minorHAnsi" w:hAnsiTheme="minorHAnsi"/>
        </w:rPr>
        <w:t>, RAN1#100-e</w:t>
      </w:r>
    </w:p>
    <w:p w14:paraId="3E11D03A" w14:textId="31AD4CA6" w:rsidR="004C664B" w:rsidRPr="004C664B" w:rsidRDefault="004C664B" w:rsidP="004C664B">
      <w:pPr>
        <w:pStyle w:val="ListParagraph"/>
        <w:numPr>
          <w:ilvl w:val="0"/>
          <w:numId w:val="2"/>
        </w:numPr>
        <w:rPr>
          <w:rFonts w:asciiTheme="minorHAnsi" w:hAnsiTheme="minorHAnsi"/>
        </w:rPr>
      </w:pPr>
      <w:r w:rsidRPr="004C664B">
        <w:rPr>
          <w:rFonts w:asciiTheme="minorHAnsi" w:hAnsiTheme="minorHAnsi"/>
        </w:rPr>
        <w:t>R1-2000512</w:t>
      </w:r>
      <w:r>
        <w:rPr>
          <w:rFonts w:asciiTheme="minorHAnsi" w:hAnsiTheme="minorHAnsi"/>
        </w:rPr>
        <w:t>, “</w:t>
      </w:r>
      <w:r w:rsidRPr="004C664B">
        <w:rPr>
          <w:rFonts w:asciiTheme="minorHAnsi" w:hAnsiTheme="minorHAnsi"/>
        </w:rPr>
        <w:t>Remaining issues on cross-slot scheduling power saving techniques</w:t>
      </w:r>
      <w:r>
        <w:rPr>
          <w:rFonts w:asciiTheme="minorHAnsi" w:hAnsiTheme="minorHAnsi"/>
        </w:rPr>
        <w:t xml:space="preserve">”, </w:t>
      </w:r>
      <w:r w:rsidRPr="004C664B">
        <w:rPr>
          <w:rFonts w:asciiTheme="minorHAnsi" w:hAnsiTheme="minorHAnsi"/>
        </w:rPr>
        <w:t>ZTE</w:t>
      </w:r>
      <w:r>
        <w:rPr>
          <w:rFonts w:asciiTheme="minorHAnsi" w:hAnsiTheme="minorHAnsi"/>
        </w:rPr>
        <w:t>, RAN1#100-e</w:t>
      </w:r>
    </w:p>
    <w:p w14:paraId="4C6E06AE" w14:textId="65DFD9C2"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R1-2000538, “</w:t>
      </w:r>
      <w:r w:rsidRPr="004C664B">
        <w:rPr>
          <w:rFonts w:asciiTheme="minorHAnsi" w:hAnsiTheme="minorHAnsi"/>
        </w:rPr>
        <w:t>Remaining issues on Power saving sc</w:t>
      </w:r>
      <w:r>
        <w:rPr>
          <w:rFonts w:asciiTheme="minorHAnsi" w:hAnsiTheme="minorHAnsi"/>
        </w:rPr>
        <w:t xml:space="preserve">heme with cross-slot scheduling”, </w:t>
      </w:r>
      <w:r w:rsidRPr="004C664B">
        <w:rPr>
          <w:rFonts w:asciiTheme="minorHAnsi" w:hAnsiTheme="minorHAnsi"/>
        </w:rPr>
        <w:t>CATT</w:t>
      </w:r>
      <w:r>
        <w:rPr>
          <w:rFonts w:asciiTheme="minorHAnsi" w:hAnsiTheme="minorHAnsi"/>
        </w:rPr>
        <w:t>, RAN1#100-e</w:t>
      </w:r>
    </w:p>
    <w:p w14:paraId="3403113C" w14:textId="583B3A4C"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R1-2000638, “</w:t>
      </w:r>
      <w:r w:rsidRPr="004C664B">
        <w:rPr>
          <w:rFonts w:asciiTheme="minorHAnsi" w:hAnsiTheme="minorHAnsi"/>
        </w:rPr>
        <w:t>Remaining issues for corss-slot sch</w:t>
      </w:r>
      <w:r>
        <w:rPr>
          <w:rFonts w:asciiTheme="minorHAnsi" w:hAnsiTheme="minorHAnsi"/>
        </w:rPr>
        <w:t xml:space="preserve">eduling power saving techniques”, </w:t>
      </w:r>
      <w:r w:rsidRPr="004C664B">
        <w:rPr>
          <w:rFonts w:asciiTheme="minorHAnsi" w:hAnsiTheme="minorHAnsi"/>
        </w:rPr>
        <w:t>Samsung</w:t>
      </w:r>
      <w:r>
        <w:rPr>
          <w:rFonts w:asciiTheme="minorHAnsi" w:hAnsiTheme="minorHAnsi"/>
        </w:rPr>
        <w:t>, RAN1#100-e</w:t>
      </w:r>
    </w:p>
    <w:p w14:paraId="74B90455" w14:textId="301F5FBF"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R1-2000685, “</w:t>
      </w:r>
      <w:r w:rsidRPr="004C664B">
        <w:rPr>
          <w:rFonts w:asciiTheme="minorHAnsi" w:hAnsiTheme="minorHAnsi"/>
        </w:rPr>
        <w:t>Remaining issues on procedure of cross-slot sch</w:t>
      </w:r>
      <w:r>
        <w:rPr>
          <w:rFonts w:asciiTheme="minorHAnsi" w:hAnsiTheme="minorHAnsi"/>
        </w:rPr>
        <w:t xml:space="preserve">eduling power saving techniques”, </w:t>
      </w:r>
      <w:r w:rsidRPr="004C664B">
        <w:rPr>
          <w:rFonts w:asciiTheme="minorHAnsi" w:hAnsiTheme="minorHAnsi"/>
        </w:rPr>
        <w:t>LG Electronics</w:t>
      </w:r>
      <w:r>
        <w:rPr>
          <w:rFonts w:asciiTheme="minorHAnsi" w:hAnsiTheme="minorHAnsi"/>
        </w:rPr>
        <w:t>, RAN1#100-e</w:t>
      </w:r>
    </w:p>
    <w:p w14:paraId="78E83367" w14:textId="07022465"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R1-2000715, “</w:t>
      </w:r>
      <w:r w:rsidRPr="004C664B">
        <w:rPr>
          <w:rFonts w:asciiTheme="minorHAnsi" w:hAnsiTheme="minorHAnsi"/>
        </w:rPr>
        <w:t>Remaining i</w:t>
      </w:r>
      <w:r>
        <w:rPr>
          <w:rFonts w:asciiTheme="minorHAnsi" w:hAnsiTheme="minorHAnsi"/>
        </w:rPr>
        <w:t xml:space="preserve">ssues for cross-slot scheduling”, </w:t>
      </w:r>
      <w:r w:rsidRPr="004C664B">
        <w:rPr>
          <w:rFonts w:asciiTheme="minorHAnsi" w:hAnsiTheme="minorHAnsi"/>
        </w:rPr>
        <w:t>OPPO</w:t>
      </w:r>
      <w:r>
        <w:rPr>
          <w:rFonts w:asciiTheme="minorHAnsi" w:hAnsiTheme="minorHAnsi"/>
        </w:rPr>
        <w:t>, RAN1#100-e</w:t>
      </w:r>
    </w:p>
    <w:p w14:paraId="7F08E070" w14:textId="12156CE1"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R1-2000743, “</w:t>
      </w:r>
      <w:r w:rsidRPr="004C664B">
        <w:rPr>
          <w:rFonts w:asciiTheme="minorHAnsi" w:hAnsiTheme="minorHAnsi"/>
        </w:rPr>
        <w:t>Remaining details of cross-s</w:t>
      </w:r>
      <w:r>
        <w:rPr>
          <w:rFonts w:asciiTheme="minorHAnsi" w:hAnsiTheme="minorHAnsi"/>
        </w:rPr>
        <w:t xml:space="preserve">lot scheduling for power saving”, </w:t>
      </w:r>
      <w:r w:rsidRPr="004C664B">
        <w:rPr>
          <w:rFonts w:asciiTheme="minorHAnsi" w:hAnsiTheme="minorHAnsi"/>
        </w:rPr>
        <w:t>Intel Corporation</w:t>
      </w:r>
      <w:r>
        <w:rPr>
          <w:rFonts w:asciiTheme="minorHAnsi" w:hAnsiTheme="minorHAnsi"/>
        </w:rPr>
        <w:t>, RAN1#100-e</w:t>
      </w:r>
    </w:p>
    <w:p w14:paraId="129729CB" w14:textId="59E89718"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R1-2000759, “</w:t>
      </w:r>
      <w:r w:rsidRPr="004C664B">
        <w:rPr>
          <w:rFonts w:asciiTheme="minorHAnsi" w:hAnsiTheme="minorHAnsi"/>
        </w:rPr>
        <w:t xml:space="preserve">Corrections on </w:t>
      </w:r>
      <w:r>
        <w:rPr>
          <w:rFonts w:asciiTheme="minorHAnsi" w:hAnsiTheme="minorHAnsi"/>
        </w:rPr>
        <w:t xml:space="preserve">cross-slot scheduling procedure”, </w:t>
      </w:r>
      <w:r w:rsidRPr="004C664B">
        <w:rPr>
          <w:rFonts w:asciiTheme="minorHAnsi" w:hAnsiTheme="minorHAnsi"/>
        </w:rPr>
        <w:t>CMCC</w:t>
      </w:r>
      <w:r>
        <w:rPr>
          <w:rFonts w:asciiTheme="minorHAnsi" w:hAnsiTheme="minorHAnsi"/>
        </w:rPr>
        <w:t>, RAN1#100-e</w:t>
      </w:r>
    </w:p>
    <w:p w14:paraId="4C2B0306" w14:textId="39270AF4" w:rsidR="004C664B" w:rsidRPr="004C664B" w:rsidRDefault="004C664B" w:rsidP="004C664B">
      <w:pPr>
        <w:pStyle w:val="ListParagraph"/>
        <w:numPr>
          <w:ilvl w:val="0"/>
          <w:numId w:val="2"/>
        </w:numPr>
        <w:rPr>
          <w:rFonts w:asciiTheme="minorHAnsi" w:hAnsiTheme="minorHAnsi"/>
        </w:rPr>
      </w:pPr>
      <w:r w:rsidRPr="004C664B">
        <w:rPr>
          <w:rFonts w:asciiTheme="minorHAnsi" w:hAnsiTheme="minorHAnsi"/>
        </w:rPr>
        <w:t>R1-2000863</w:t>
      </w:r>
      <w:r>
        <w:rPr>
          <w:rFonts w:asciiTheme="minorHAnsi" w:hAnsiTheme="minorHAnsi"/>
        </w:rPr>
        <w:t>, “</w:t>
      </w:r>
      <w:r w:rsidRPr="004C664B">
        <w:rPr>
          <w:rFonts w:asciiTheme="minorHAnsi" w:hAnsiTheme="minorHAnsi"/>
        </w:rPr>
        <w:t>Remaining Issues on Cross Slot Schedulin</w:t>
      </w:r>
      <w:r>
        <w:rPr>
          <w:rFonts w:asciiTheme="minorHAnsi" w:hAnsiTheme="minorHAnsi"/>
        </w:rPr>
        <w:t xml:space="preserve">g Technique for UE Power Saving”, </w:t>
      </w:r>
      <w:r w:rsidRPr="004C664B">
        <w:rPr>
          <w:rFonts w:asciiTheme="minorHAnsi" w:hAnsiTheme="minorHAnsi"/>
        </w:rPr>
        <w:t>Apple</w:t>
      </w:r>
      <w:r>
        <w:rPr>
          <w:rFonts w:asciiTheme="minorHAnsi" w:hAnsiTheme="minorHAnsi"/>
        </w:rPr>
        <w:t xml:space="preserve"> Inc.</w:t>
      </w:r>
      <w:r>
        <w:rPr>
          <w:rFonts w:asciiTheme="minorHAnsi" w:hAnsiTheme="minorHAnsi"/>
        </w:rPr>
        <w:t>, RAN1#100-e</w:t>
      </w:r>
    </w:p>
    <w:p w14:paraId="291FD273" w14:textId="59F8CEEC" w:rsidR="004C664B" w:rsidRPr="004C664B" w:rsidRDefault="004C664B" w:rsidP="004C664B">
      <w:pPr>
        <w:pStyle w:val="ListParagraph"/>
        <w:numPr>
          <w:ilvl w:val="0"/>
          <w:numId w:val="2"/>
        </w:numPr>
        <w:rPr>
          <w:rFonts w:asciiTheme="minorHAnsi" w:hAnsiTheme="minorHAnsi"/>
        </w:rPr>
      </w:pPr>
      <w:r w:rsidRPr="004C664B">
        <w:rPr>
          <w:rFonts w:asciiTheme="minorHAnsi" w:hAnsiTheme="minorHAnsi"/>
        </w:rPr>
        <w:t>R1-2000885</w:t>
      </w:r>
      <w:r>
        <w:rPr>
          <w:rFonts w:asciiTheme="minorHAnsi" w:hAnsiTheme="minorHAnsi"/>
        </w:rPr>
        <w:t>, “</w:t>
      </w:r>
      <w:r w:rsidRPr="004C664B">
        <w:rPr>
          <w:rFonts w:asciiTheme="minorHAnsi" w:hAnsiTheme="minorHAnsi"/>
        </w:rPr>
        <w:t>Remaining i</w:t>
      </w:r>
      <w:r>
        <w:rPr>
          <w:rFonts w:asciiTheme="minorHAnsi" w:hAnsiTheme="minorHAnsi"/>
        </w:rPr>
        <w:t xml:space="preserve">ssues for cross-slot scheduling”, </w:t>
      </w:r>
      <w:r w:rsidRPr="004C664B">
        <w:rPr>
          <w:rFonts w:asciiTheme="minorHAnsi" w:hAnsiTheme="minorHAnsi"/>
        </w:rPr>
        <w:t>Ericsson</w:t>
      </w:r>
      <w:r>
        <w:rPr>
          <w:rFonts w:asciiTheme="minorHAnsi" w:hAnsiTheme="minorHAnsi"/>
        </w:rPr>
        <w:t>, RAN1#100-e</w:t>
      </w:r>
    </w:p>
    <w:p w14:paraId="44D95461" w14:textId="7B973748"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R1-2000929, “</w:t>
      </w:r>
      <w:r w:rsidRPr="004C664B">
        <w:rPr>
          <w:rFonts w:asciiTheme="minorHAnsi" w:hAnsiTheme="minorHAnsi"/>
        </w:rPr>
        <w:t>Maintenance for procedure of cross-slot sch</w:t>
      </w:r>
      <w:r>
        <w:rPr>
          <w:rFonts w:asciiTheme="minorHAnsi" w:hAnsiTheme="minorHAnsi"/>
        </w:rPr>
        <w:t xml:space="preserve">eduling power saving techniques”, </w:t>
      </w:r>
      <w:r w:rsidRPr="004C664B">
        <w:rPr>
          <w:rFonts w:asciiTheme="minorHAnsi" w:hAnsiTheme="minorHAnsi"/>
        </w:rPr>
        <w:t>NTT DOCOMO, INC.</w:t>
      </w:r>
      <w:r>
        <w:rPr>
          <w:rFonts w:asciiTheme="minorHAnsi" w:hAnsiTheme="minorHAnsi"/>
        </w:rPr>
        <w:t>, RAN1#100-e</w:t>
      </w:r>
    </w:p>
    <w:p w14:paraId="6086D578" w14:textId="6245033A" w:rsidR="004C664B" w:rsidRPr="004C664B" w:rsidRDefault="004C664B" w:rsidP="004C664B">
      <w:pPr>
        <w:pStyle w:val="ListParagraph"/>
        <w:numPr>
          <w:ilvl w:val="0"/>
          <w:numId w:val="2"/>
        </w:numPr>
        <w:rPr>
          <w:rFonts w:asciiTheme="minorHAnsi" w:hAnsiTheme="minorHAnsi"/>
        </w:rPr>
      </w:pPr>
      <w:r>
        <w:rPr>
          <w:rFonts w:asciiTheme="minorHAnsi" w:hAnsiTheme="minorHAnsi"/>
        </w:rPr>
        <w:t>R1-2000977, “</w:t>
      </w:r>
      <w:r w:rsidRPr="004C664B">
        <w:rPr>
          <w:rFonts w:asciiTheme="minorHAnsi" w:hAnsiTheme="minorHAnsi"/>
        </w:rPr>
        <w:t>Remaining issues in cro</w:t>
      </w:r>
      <w:r>
        <w:rPr>
          <w:rFonts w:asciiTheme="minorHAnsi" w:hAnsiTheme="minorHAnsi"/>
        </w:rPr>
        <w:t xml:space="preserve">ss-slot scheduling power saving”, </w:t>
      </w:r>
      <w:r w:rsidRPr="004C664B">
        <w:rPr>
          <w:rFonts w:asciiTheme="minorHAnsi" w:hAnsiTheme="minorHAnsi"/>
        </w:rPr>
        <w:t>Qualcomm Inc</w:t>
      </w:r>
      <w:r>
        <w:rPr>
          <w:rFonts w:asciiTheme="minorHAnsi" w:hAnsiTheme="minorHAnsi"/>
        </w:rPr>
        <w:t>.</w:t>
      </w:r>
      <w:r>
        <w:rPr>
          <w:rFonts w:asciiTheme="minorHAnsi" w:hAnsiTheme="minorHAnsi"/>
        </w:rPr>
        <w:t>, RAN1#100-e</w:t>
      </w:r>
    </w:p>
    <w:p w14:paraId="46AB0CE7" w14:textId="2BE8BC05" w:rsidR="00E7439E" w:rsidRPr="00F908CF" w:rsidRDefault="004C664B" w:rsidP="004C664B">
      <w:pPr>
        <w:pStyle w:val="ListParagraph"/>
        <w:numPr>
          <w:ilvl w:val="0"/>
          <w:numId w:val="2"/>
        </w:numPr>
        <w:rPr>
          <w:rFonts w:asciiTheme="minorHAnsi" w:hAnsiTheme="minorHAnsi"/>
        </w:rPr>
      </w:pPr>
      <w:bookmarkStart w:id="12" w:name="_Ref32919060"/>
      <w:r>
        <w:rPr>
          <w:rFonts w:asciiTheme="minorHAnsi" w:hAnsiTheme="minorHAnsi"/>
        </w:rPr>
        <w:t>R1-2001049, “</w:t>
      </w:r>
      <w:r w:rsidRPr="004C664B">
        <w:rPr>
          <w:rFonts w:asciiTheme="minorHAnsi" w:hAnsiTheme="minorHAnsi"/>
        </w:rPr>
        <w:t>Procedure of cross-slot scheduling power saving techniques</w:t>
      </w:r>
      <w:r>
        <w:rPr>
          <w:rFonts w:asciiTheme="minorHAnsi" w:hAnsiTheme="minorHAnsi"/>
        </w:rPr>
        <w:t>”,</w:t>
      </w:r>
      <w:r w:rsidRPr="004C664B">
        <w:rPr>
          <w:rFonts w:asciiTheme="minorHAnsi" w:hAnsiTheme="minorHAnsi"/>
        </w:rPr>
        <w:t xml:space="preserve"> </w:t>
      </w:r>
      <w:r w:rsidRPr="004C664B">
        <w:rPr>
          <w:rFonts w:asciiTheme="minorHAnsi" w:hAnsiTheme="minorHAnsi"/>
        </w:rPr>
        <w:t>Nokia, Nokia Shanghai Bell</w:t>
      </w:r>
      <w:r>
        <w:rPr>
          <w:rFonts w:asciiTheme="minorHAnsi" w:hAnsiTheme="minorHAnsi"/>
        </w:rPr>
        <w:t>, RAN1#100-e</w:t>
      </w:r>
      <w:bookmarkEnd w:id="12"/>
    </w:p>
    <w:bookmarkEnd w:id="7"/>
    <w:bookmarkEnd w:id="8"/>
    <w:bookmarkEnd w:id="9"/>
    <w:bookmarkEnd w:id="10"/>
    <w:p w14:paraId="778DB611" w14:textId="17365A46" w:rsidR="00D42A5D" w:rsidRPr="00A839FE" w:rsidRDefault="00D42A5D" w:rsidP="00106E00">
      <w:pPr>
        <w:rPr>
          <w:rFonts w:asciiTheme="minorHAnsi" w:hAnsiTheme="minorHAnsi"/>
        </w:rPr>
      </w:pPr>
    </w:p>
    <w:sectPr w:rsidR="00D42A5D"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CF409" w14:textId="77777777" w:rsidR="00BA55EC" w:rsidRDefault="00BA55EC">
      <w:r>
        <w:separator/>
      </w:r>
    </w:p>
  </w:endnote>
  <w:endnote w:type="continuationSeparator" w:id="0">
    <w:p w14:paraId="6B2DE3C1" w14:textId="77777777" w:rsidR="00BA55EC" w:rsidRDefault="00BA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FEBBE" w14:textId="77777777" w:rsidR="00BA55EC" w:rsidRDefault="00BA55EC">
      <w:r>
        <w:separator/>
      </w:r>
    </w:p>
  </w:footnote>
  <w:footnote w:type="continuationSeparator" w:id="0">
    <w:p w14:paraId="0C88A7F5" w14:textId="77777777" w:rsidR="00BA55EC" w:rsidRDefault="00BA55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A641FC"/>
    <w:multiLevelType w:val="hybridMultilevel"/>
    <w:tmpl w:val="559C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76B87"/>
    <w:multiLevelType w:val="hybridMultilevel"/>
    <w:tmpl w:val="F75A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92B73"/>
    <w:multiLevelType w:val="hybridMultilevel"/>
    <w:tmpl w:val="4710B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172D4947"/>
    <w:multiLevelType w:val="hybridMultilevel"/>
    <w:tmpl w:val="2384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04FD6"/>
    <w:multiLevelType w:val="hybridMultilevel"/>
    <w:tmpl w:val="1DA237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C601FE"/>
    <w:multiLevelType w:val="hybridMultilevel"/>
    <w:tmpl w:val="6310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52AA8"/>
    <w:multiLevelType w:val="hybridMultilevel"/>
    <w:tmpl w:val="7928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C24BB"/>
    <w:multiLevelType w:val="multilevel"/>
    <w:tmpl w:val="B6FE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DD662E"/>
    <w:multiLevelType w:val="hybridMultilevel"/>
    <w:tmpl w:val="7E3E8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B6474"/>
    <w:multiLevelType w:val="multilevel"/>
    <w:tmpl w:val="15B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C347F0"/>
    <w:multiLevelType w:val="hybridMultilevel"/>
    <w:tmpl w:val="55C82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0E7D72"/>
    <w:multiLevelType w:val="hybridMultilevel"/>
    <w:tmpl w:val="BCB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605400"/>
    <w:multiLevelType w:val="multilevel"/>
    <w:tmpl w:val="8704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3D3240"/>
    <w:multiLevelType w:val="hybridMultilevel"/>
    <w:tmpl w:val="F7DC7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6"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8"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9"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D0A07"/>
    <w:multiLevelType w:val="hybridMultilevel"/>
    <w:tmpl w:val="9B00BD8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5"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6" w15:restartNumberingAfterBreak="0">
    <w:nsid w:val="597816B1"/>
    <w:multiLevelType w:val="hybridMultilevel"/>
    <w:tmpl w:val="7A8A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8" w15:restartNumberingAfterBreak="0">
    <w:nsid w:val="5BCA2D7D"/>
    <w:multiLevelType w:val="multilevel"/>
    <w:tmpl w:val="91F294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DB3BFE"/>
    <w:multiLevelType w:val="multilevel"/>
    <w:tmpl w:val="7F64C4CA"/>
    <w:lvl w:ilvl="0">
      <w:start w:val="1"/>
      <w:numFmt w:val="bullet"/>
      <w:lvlText w:val=""/>
      <w:lvlJc w:val="left"/>
      <w:pPr>
        <w:tabs>
          <w:tab w:val="num" w:pos="1008"/>
        </w:tabs>
        <w:ind w:left="1008" w:hanging="360"/>
      </w:pPr>
      <w:rPr>
        <w:rFonts w:ascii="Symbol" w:hAnsi="Symbol" w:hint="default"/>
        <w:sz w:val="20"/>
      </w:rPr>
    </w:lvl>
    <w:lvl w:ilvl="1">
      <w:start w:val="1"/>
      <w:numFmt w:val="bullet"/>
      <w:lvlText w:val=""/>
      <w:lvlJc w:val="left"/>
      <w:pPr>
        <w:tabs>
          <w:tab w:val="num" w:pos="1728"/>
        </w:tabs>
        <w:ind w:left="1728" w:hanging="360"/>
      </w:pPr>
      <w:rPr>
        <w:rFonts w:ascii="Symbol" w:hAnsi="Symbol" w:hint="default"/>
        <w:sz w:val="20"/>
      </w:rPr>
    </w:lvl>
    <w:lvl w:ilvl="2" w:tentative="1">
      <w:start w:val="1"/>
      <w:numFmt w:val="bullet"/>
      <w:lvlText w:val=""/>
      <w:lvlJc w:val="left"/>
      <w:pPr>
        <w:tabs>
          <w:tab w:val="num" w:pos="2448"/>
        </w:tabs>
        <w:ind w:left="2448" w:hanging="360"/>
      </w:pPr>
      <w:rPr>
        <w:rFonts w:ascii="Symbol" w:hAnsi="Symbol" w:hint="default"/>
        <w:sz w:val="20"/>
      </w:rPr>
    </w:lvl>
    <w:lvl w:ilvl="3" w:tentative="1">
      <w:start w:val="1"/>
      <w:numFmt w:val="bullet"/>
      <w:lvlText w:val=""/>
      <w:lvlJc w:val="left"/>
      <w:pPr>
        <w:tabs>
          <w:tab w:val="num" w:pos="3168"/>
        </w:tabs>
        <w:ind w:left="3168" w:hanging="360"/>
      </w:pPr>
      <w:rPr>
        <w:rFonts w:ascii="Symbol" w:hAnsi="Symbol" w:hint="default"/>
        <w:sz w:val="20"/>
      </w:rPr>
    </w:lvl>
    <w:lvl w:ilvl="4" w:tentative="1">
      <w:start w:val="1"/>
      <w:numFmt w:val="bullet"/>
      <w:lvlText w:val=""/>
      <w:lvlJc w:val="left"/>
      <w:pPr>
        <w:tabs>
          <w:tab w:val="num" w:pos="3888"/>
        </w:tabs>
        <w:ind w:left="3888" w:hanging="360"/>
      </w:pPr>
      <w:rPr>
        <w:rFonts w:ascii="Symbol" w:hAnsi="Symbol" w:hint="default"/>
        <w:sz w:val="20"/>
      </w:rPr>
    </w:lvl>
    <w:lvl w:ilvl="5" w:tentative="1">
      <w:start w:val="1"/>
      <w:numFmt w:val="bullet"/>
      <w:lvlText w:val=""/>
      <w:lvlJc w:val="left"/>
      <w:pPr>
        <w:tabs>
          <w:tab w:val="num" w:pos="4608"/>
        </w:tabs>
        <w:ind w:left="4608" w:hanging="360"/>
      </w:pPr>
      <w:rPr>
        <w:rFonts w:ascii="Symbol" w:hAnsi="Symbol" w:hint="default"/>
        <w:sz w:val="20"/>
      </w:rPr>
    </w:lvl>
    <w:lvl w:ilvl="6" w:tentative="1">
      <w:start w:val="1"/>
      <w:numFmt w:val="bullet"/>
      <w:lvlText w:val=""/>
      <w:lvlJc w:val="left"/>
      <w:pPr>
        <w:tabs>
          <w:tab w:val="num" w:pos="5328"/>
        </w:tabs>
        <w:ind w:left="5328" w:hanging="360"/>
      </w:pPr>
      <w:rPr>
        <w:rFonts w:ascii="Symbol" w:hAnsi="Symbol" w:hint="default"/>
        <w:sz w:val="20"/>
      </w:rPr>
    </w:lvl>
    <w:lvl w:ilvl="7" w:tentative="1">
      <w:start w:val="1"/>
      <w:numFmt w:val="bullet"/>
      <w:lvlText w:val=""/>
      <w:lvlJc w:val="left"/>
      <w:pPr>
        <w:tabs>
          <w:tab w:val="num" w:pos="6048"/>
        </w:tabs>
        <w:ind w:left="6048" w:hanging="360"/>
      </w:pPr>
      <w:rPr>
        <w:rFonts w:ascii="Symbol" w:hAnsi="Symbol" w:hint="default"/>
        <w:sz w:val="20"/>
      </w:rPr>
    </w:lvl>
    <w:lvl w:ilvl="8" w:tentative="1">
      <w:start w:val="1"/>
      <w:numFmt w:val="bullet"/>
      <w:lvlText w:val=""/>
      <w:lvlJc w:val="left"/>
      <w:pPr>
        <w:tabs>
          <w:tab w:val="num" w:pos="6768"/>
        </w:tabs>
        <w:ind w:left="6768" w:hanging="360"/>
      </w:pPr>
      <w:rPr>
        <w:rFonts w:ascii="Symbol" w:hAnsi="Symbol" w:hint="default"/>
        <w:sz w:val="20"/>
      </w:rPr>
    </w:lvl>
  </w:abstractNum>
  <w:abstractNum w:abstractNumId="40" w15:restartNumberingAfterBreak="0">
    <w:nsid w:val="61A138E8"/>
    <w:multiLevelType w:val="hybridMultilevel"/>
    <w:tmpl w:val="9A7E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4460C9"/>
    <w:multiLevelType w:val="hybridMultilevel"/>
    <w:tmpl w:val="34C23E04"/>
    <w:lvl w:ilvl="0" w:tplc="AB14CAE4">
      <w:start w:val="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3" w15:restartNumberingAfterBreak="0">
    <w:nsid w:val="6AC12B65"/>
    <w:multiLevelType w:val="hybridMultilevel"/>
    <w:tmpl w:val="0C742BD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F2A7BA8"/>
    <w:multiLevelType w:val="hybridMultilevel"/>
    <w:tmpl w:val="54A6C2D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6" w15:restartNumberingAfterBreak="0">
    <w:nsid w:val="78A657D1"/>
    <w:multiLevelType w:val="hybridMultilevel"/>
    <w:tmpl w:val="864C70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A4C2D"/>
    <w:multiLevelType w:val="multilevel"/>
    <w:tmpl w:val="51B26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1"/>
  </w:num>
  <w:num w:numId="3">
    <w:abstractNumId w:val="27"/>
  </w:num>
  <w:num w:numId="4">
    <w:abstractNumId w:val="5"/>
  </w:num>
  <w:num w:numId="5">
    <w:abstractNumId w:val="42"/>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7"/>
  </w:num>
  <w:num w:numId="9">
    <w:abstractNumId w:val="44"/>
  </w:num>
  <w:num w:numId="10">
    <w:abstractNumId w:val="35"/>
  </w:num>
  <w:num w:numId="11">
    <w:abstractNumId w:val="37"/>
  </w:num>
  <w:num w:numId="12">
    <w:abstractNumId w:val="25"/>
  </w:num>
  <w:num w:numId="13">
    <w:abstractNumId w:val="29"/>
  </w:num>
  <w:num w:numId="14">
    <w:abstractNumId w:val="47"/>
  </w:num>
  <w:num w:numId="15">
    <w:abstractNumId w:val="6"/>
  </w:num>
  <w:num w:numId="16">
    <w:abstractNumId w:val="10"/>
  </w:num>
  <w:num w:numId="17">
    <w:abstractNumId w:val="31"/>
  </w:num>
  <w:num w:numId="18">
    <w:abstractNumId w:val="6"/>
  </w:num>
  <w:num w:numId="19">
    <w:abstractNumId w:val="41"/>
  </w:num>
  <w:num w:numId="20">
    <w:abstractNumId w:val="4"/>
  </w:num>
  <w:num w:numId="21">
    <w:abstractNumId w:val="26"/>
  </w:num>
  <w:num w:numId="22">
    <w:abstractNumId w:val="34"/>
  </w:num>
  <w:num w:numId="23">
    <w:abstractNumId w:val="14"/>
  </w:num>
  <w:num w:numId="24">
    <w:abstractNumId w:val="11"/>
  </w:num>
  <w:num w:numId="25">
    <w:abstractNumId w:val="30"/>
  </w:num>
  <w:num w:numId="26">
    <w:abstractNumId w:val="15"/>
  </w:num>
  <w:num w:numId="27">
    <w:abstractNumId w:val="22"/>
  </w:num>
  <w:num w:numId="28">
    <w:abstractNumId w:val="8"/>
  </w:num>
  <w:num w:numId="29">
    <w:abstractNumId w:val="33"/>
  </w:num>
  <w:num w:numId="30">
    <w:abstractNumId w:val="36"/>
  </w:num>
  <w:num w:numId="31">
    <w:abstractNumId w:val="2"/>
  </w:num>
  <w:num w:numId="32">
    <w:abstractNumId w:val="45"/>
  </w:num>
  <w:num w:numId="33">
    <w:abstractNumId w:val="16"/>
  </w:num>
  <w:num w:numId="34">
    <w:abstractNumId w:val="32"/>
  </w:num>
  <w:num w:numId="35">
    <w:abstractNumId w:val="43"/>
  </w:num>
  <w:num w:numId="36">
    <w:abstractNumId w:val="19"/>
  </w:num>
  <w:num w:numId="37">
    <w:abstractNumId w:val="1"/>
  </w:num>
  <w:num w:numId="38">
    <w:abstractNumId w:val="12"/>
  </w:num>
  <w:num w:numId="39">
    <w:abstractNumId w:val="46"/>
  </w:num>
  <w:num w:numId="40">
    <w:abstractNumId w:val="23"/>
  </w:num>
  <w:num w:numId="41">
    <w:abstractNumId w:val="24"/>
  </w:num>
  <w:num w:numId="42">
    <w:abstractNumId w:val="13"/>
  </w:num>
  <w:num w:numId="43">
    <w:abstractNumId w:val="39"/>
  </w:num>
  <w:num w:numId="44">
    <w:abstractNumId w:val="3"/>
  </w:num>
  <w:num w:numId="45">
    <w:abstractNumId w:val="18"/>
  </w:num>
  <w:num w:numId="46">
    <w:abstractNumId w:val="48"/>
  </w:num>
  <w:num w:numId="47">
    <w:abstractNumId w:val="40"/>
  </w:num>
  <w:num w:numId="48">
    <w:abstractNumId w:val="17"/>
  </w:num>
  <w:num w:numId="49">
    <w:abstractNumId w:val="38"/>
  </w:num>
  <w:num w:numId="5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4FA6"/>
    <w:rsid w:val="000854A3"/>
    <w:rsid w:val="0008693B"/>
    <w:rsid w:val="00087287"/>
    <w:rsid w:val="0008738E"/>
    <w:rsid w:val="00093E7E"/>
    <w:rsid w:val="0009595E"/>
    <w:rsid w:val="0009679F"/>
    <w:rsid w:val="00096F03"/>
    <w:rsid w:val="000A02F0"/>
    <w:rsid w:val="000A28EE"/>
    <w:rsid w:val="000A2E10"/>
    <w:rsid w:val="000A3132"/>
    <w:rsid w:val="000A3389"/>
    <w:rsid w:val="000A44B6"/>
    <w:rsid w:val="000A75D8"/>
    <w:rsid w:val="000A764D"/>
    <w:rsid w:val="000A7B03"/>
    <w:rsid w:val="000B0020"/>
    <w:rsid w:val="000B0083"/>
    <w:rsid w:val="000B2CB0"/>
    <w:rsid w:val="000B2EF7"/>
    <w:rsid w:val="000B30B6"/>
    <w:rsid w:val="000B3A12"/>
    <w:rsid w:val="000B42AC"/>
    <w:rsid w:val="000B4CAE"/>
    <w:rsid w:val="000B5209"/>
    <w:rsid w:val="000B5B95"/>
    <w:rsid w:val="000B6726"/>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08"/>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3FFB"/>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5E2D"/>
    <w:rsid w:val="00126E09"/>
    <w:rsid w:val="00126E20"/>
    <w:rsid w:val="00127382"/>
    <w:rsid w:val="001279D6"/>
    <w:rsid w:val="00130253"/>
    <w:rsid w:val="00130399"/>
    <w:rsid w:val="00131A87"/>
    <w:rsid w:val="001321AF"/>
    <w:rsid w:val="00132614"/>
    <w:rsid w:val="00132A1B"/>
    <w:rsid w:val="00132BEB"/>
    <w:rsid w:val="00133BF9"/>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BB9"/>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05FD"/>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79E"/>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2E3C"/>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3824"/>
    <w:rsid w:val="003B512C"/>
    <w:rsid w:val="003B5CA8"/>
    <w:rsid w:val="003B5F65"/>
    <w:rsid w:val="003B63FF"/>
    <w:rsid w:val="003B68F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378A0"/>
    <w:rsid w:val="00441A60"/>
    <w:rsid w:val="00442391"/>
    <w:rsid w:val="004439AA"/>
    <w:rsid w:val="00444225"/>
    <w:rsid w:val="004446E3"/>
    <w:rsid w:val="0044550E"/>
    <w:rsid w:val="00445D09"/>
    <w:rsid w:val="00445D1B"/>
    <w:rsid w:val="0044690C"/>
    <w:rsid w:val="004502EA"/>
    <w:rsid w:val="0045233E"/>
    <w:rsid w:val="00452AF3"/>
    <w:rsid w:val="004539A7"/>
    <w:rsid w:val="00454F89"/>
    <w:rsid w:val="00455198"/>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45ED"/>
    <w:rsid w:val="004B5802"/>
    <w:rsid w:val="004B5C7C"/>
    <w:rsid w:val="004B636D"/>
    <w:rsid w:val="004B65B3"/>
    <w:rsid w:val="004C0650"/>
    <w:rsid w:val="004C151B"/>
    <w:rsid w:val="004C37E2"/>
    <w:rsid w:val="004C38BC"/>
    <w:rsid w:val="004C4D28"/>
    <w:rsid w:val="004C58A6"/>
    <w:rsid w:val="004C63F9"/>
    <w:rsid w:val="004C664B"/>
    <w:rsid w:val="004C7494"/>
    <w:rsid w:val="004D1160"/>
    <w:rsid w:val="004D1531"/>
    <w:rsid w:val="004D1BEE"/>
    <w:rsid w:val="004D2818"/>
    <w:rsid w:val="004D2C1F"/>
    <w:rsid w:val="004D2EC0"/>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1E03"/>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66025"/>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530F"/>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1B3"/>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67580"/>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C60"/>
    <w:rsid w:val="00690EB8"/>
    <w:rsid w:val="00692002"/>
    <w:rsid w:val="00692087"/>
    <w:rsid w:val="00693BD9"/>
    <w:rsid w:val="00695179"/>
    <w:rsid w:val="006974A2"/>
    <w:rsid w:val="006A0090"/>
    <w:rsid w:val="006A19E6"/>
    <w:rsid w:val="006A4F1F"/>
    <w:rsid w:val="006A5938"/>
    <w:rsid w:val="006B0B3B"/>
    <w:rsid w:val="006B2263"/>
    <w:rsid w:val="006B2F94"/>
    <w:rsid w:val="006B3667"/>
    <w:rsid w:val="006B50BE"/>
    <w:rsid w:val="006B559C"/>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1558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5866"/>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38D"/>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3DD"/>
    <w:rsid w:val="008056C8"/>
    <w:rsid w:val="00806C5F"/>
    <w:rsid w:val="00807BBB"/>
    <w:rsid w:val="00807D4E"/>
    <w:rsid w:val="0081359C"/>
    <w:rsid w:val="00814B66"/>
    <w:rsid w:val="00815D7E"/>
    <w:rsid w:val="00816505"/>
    <w:rsid w:val="00820C50"/>
    <w:rsid w:val="00820C8C"/>
    <w:rsid w:val="008215E2"/>
    <w:rsid w:val="00822512"/>
    <w:rsid w:val="00822DD5"/>
    <w:rsid w:val="00823592"/>
    <w:rsid w:val="00823D24"/>
    <w:rsid w:val="0082404F"/>
    <w:rsid w:val="008253E9"/>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B7F"/>
    <w:rsid w:val="00851BF3"/>
    <w:rsid w:val="00853968"/>
    <w:rsid w:val="008553A6"/>
    <w:rsid w:val="00856925"/>
    <w:rsid w:val="00857171"/>
    <w:rsid w:val="0085736A"/>
    <w:rsid w:val="00857B52"/>
    <w:rsid w:val="00860512"/>
    <w:rsid w:val="00860A90"/>
    <w:rsid w:val="00861B19"/>
    <w:rsid w:val="00861D60"/>
    <w:rsid w:val="0086225D"/>
    <w:rsid w:val="00862B4D"/>
    <w:rsid w:val="00862BDA"/>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2979"/>
    <w:rsid w:val="0093302B"/>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114F"/>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6D3"/>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334E"/>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297C"/>
    <w:rsid w:val="00AB3BFC"/>
    <w:rsid w:val="00AB5612"/>
    <w:rsid w:val="00AB5E40"/>
    <w:rsid w:val="00AB6D7D"/>
    <w:rsid w:val="00AB6E69"/>
    <w:rsid w:val="00AB71FD"/>
    <w:rsid w:val="00AB7939"/>
    <w:rsid w:val="00AC0B1D"/>
    <w:rsid w:val="00AC1DE0"/>
    <w:rsid w:val="00AC26B9"/>
    <w:rsid w:val="00AC3888"/>
    <w:rsid w:val="00AC3AEC"/>
    <w:rsid w:val="00AC5074"/>
    <w:rsid w:val="00AC581D"/>
    <w:rsid w:val="00AC66AC"/>
    <w:rsid w:val="00AC7089"/>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223"/>
    <w:rsid w:val="00B20319"/>
    <w:rsid w:val="00B20E7E"/>
    <w:rsid w:val="00B21FA9"/>
    <w:rsid w:val="00B23CBD"/>
    <w:rsid w:val="00B24406"/>
    <w:rsid w:val="00B24A1F"/>
    <w:rsid w:val="00B253A6"/>
    <w:rsid w:val="00B255D5"/>
    <w:rsid w:val="00B256FD"/>
    <w:rsid w:val="00B2687B"/>
    <w:rsid w:val="00B26901"/>
    <w:rsid w:val="00B26BCE"/>
    <w:rsid w:val="00B27F9F"/>
    <w:rsid w:val="00B300C3"/>
    <w:rsid w:val="00B3269E"/>
    <w:rsid w:val="00B32A7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3975"/>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55EC"/>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DE2"/>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C4F"/>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0534"/>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52"/>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17D7F"/>
    <w:rsid w:val="00E21821"/>
    <w:rsid w:val="00E21991"/>
    <w:rsid w:val="00E21A57"/>
    <w:rsid w:val="00E22389"/>
    <w:rsid w:val="00E22AB6"/>
    <w:rsid w:val="00E22FB8"/>
    <w:rsid w:val="00E23011"/>
    <w:rsid w:val="00E230D0"/>
    <w:rsid w:val="00E31E3E"/>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30D"/>
    <w:rsid w:val="00E822BA"/>
    <w:rsid w:val="00E824AA"/>
    <w:rsid w:val="00E829EB"/>
    <w:rsid w:val="00E83583"/>
    <w:rsid w:val="00E841E5"/>
    <w:rsid w:val="00E8629F"/>
    <w:rsid w:val="00E86F92"/>
    <w:rsid w:val="00E870B6"/>
    <w:rsid w:val="00E87634"/>
    <w:rsid w:val="00E87B68"/>
    <w:rsid w:val="00E9029D"/>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5D67"/>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3DD"/>
    <w:rPr>
      <w:rFonts w:ascii="Calibri" w:eastAsia="Gulim" w:hAnsi="Calibri" w:cs="Gulim"/>
      <w:sz w:val="22"/>
      <w:szCs w:val="22"/>
      <w:lang w:val="en-US" w:eastAsia="ko-KR"/>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rsid w:val="00A51FD6"/>
    <w:rPr>
      <w:rFonts w:ascii="Times New Roman" w:hAnsi="Times New Roman"/>
      <w:b/>
    </w:rPr>
  </w:style>
  <w:style w:type="paragraph" w:customStyle="1" w:styleId="CharCharCharCharCharChar">
    <w:name w:val="Char Char Char Char Char Char"/>
    <w:semiHidden/>
    <w:rsid w:val="001C4D93"/>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27"/>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 w:type="character" w:customStyle="1" w:styleId="B1Zchn">
    <w:name w:val="B1 Zchn"/>
    <w:basedOn w:val="DefaultParagraphFont"/>
    <w:locked/>
    <w:rsid w:val="009911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67844181">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3211404">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2223983">
      <w:bodyDiv w:val="1"/>
      <w:marLeft w:val="0"/>
      <w:marRight w:val="0"/>
      <w:marTop w:val="0"/>
      <w:marBottom w:val="0"/>
      <w:divBdr>
        <w:top w:val="none" w:sz="0" w:space="0" w:color="auto"/>
        <w:left w:val="none" w:sz="0" w:space="0" w:color="auto"/>
        <w:bottom w:val="none" w:sz="0" w:space="0" w:color="auto"/>
        <w:right w:val="none" w:sz="0" w:space="0" w:color="auto"/>
      </w:divBdr>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03438137">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117826">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38607509">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7972908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74885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981589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7120946">
      <w:bodyDiv w:val="1"/>
      <w:marLeft w:val="0"/>
      <w:marRight w:val="0"/>
      <w:marTop w:val="0"/>
      <w:marBottom w:val="0"/>
      <w:divBdr>
        <w:top w:val="none" w:sz="0" w:space="0" w:color="auto"/>
        <w:left w:val="none" w:sz="0" w:space="0" w:color="auto"/>
        <w:bottom w:val="none" w:sz="0" w:space="0" w:color="auto"/>
        <w:right w:val="none" w:sz="0" w:space="0" w:color="auto"/>
      </w:divBdr>
      <w:divsChild>
        <w:div w:id="1643995084">
          <w:marLeft w:val="0"/>
          <w:marRight w:val="0"/>
          <w:marTop w:val="0"/>
          <w:marBottom w:val="0"/>
          <w:divBdr>
            <w:top w:val="none" w:sz="0" w:space="0" w:color="auto"/>
            <w:left w:val="none" w:sz="0" w:space="0" w:color="auto"/>
            <w:bottom w:val="none" w:sz="0" w:space="0" w:color="auto"/>
            <w:right w:val="none" w:sz="0" w:space="0" w:color="auto"/>
          </w:divBdr>
        </w:div>
      </w:divsChild>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38184018">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19199537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4185125">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886393">
      <w:bodyDiv w:val="1"/>
      <w:marLeft w:val="0"/>
      <w:marRight w:val="0"/>
      <w:marTop w:val="0"/>
      <w:marBottom w:val="0"/>
      <w:divBdr>
        <w:top w:val="none" w:sz="0" w:space="0" w:color="auto"/>
        <w:left w:val="none" w:sz="0" w:space="0" w:color="auto"/>
        <w:bottom w:val="none" w:sz="0" w:space="0" w:color="auto"/>
        <w:right w:val="none" w:sz="0" w:space="0" w:color="auto"/>
      </w:divBdr>
    </w:div>
    <w:div w:id="141748283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9155052">
      <w:bodyDiv w:val="1"/>
      <w:marLeft w:val="0"/>
      <w:marRight w:val="0"/>
      <w:marTop w:val="0"/>
      <w:marBottom w:val="0"/>
      <w:divBdr>
        <w:top w:val="none" w:sz="0" w:space="0" w:color="auto"/>
        <w:left w:val="none" w:sz="0" w:space="0" w:color="auto"/>
        <w:bottom w:val="none" w:sz="0" w:space="0" w:color="auto"/>
        <w:right w:val="none" w:sz="0" w:space="0" w:color="auto"/>
      </w:divBdr>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74970247">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601919">
      <w:bodyDiv w:val="1"/>
      <w:marLeft w:val="0"/>
      <w:marRight w:val="0"/>
      <w:marTop w:val="0"/>
      <w:marBottom w:val="0"/>
      <w:divBdr>
        <w:top w:val="none" w:sz="0" w:space="0" w:color="auto"/>
        <w:left w:val="none" w:sz="0" w:space="0" w:color="auto"/>
        <w:bottom w:val="none" w:sz="0" w:space="0" w:color="auto"/>
        <w:right w:val="none" w:sz="0" w:space="0" w:color="auto"/>
      </w:divBdr>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233807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0D2927-86DE-40B5-8204-4E066CD0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Clarifications regarding BWP switch and application delay</vt:lpstr>
      <vt:lpstr>Exceptional case(s) and error handling</vt:lpstr>
      <vt:lpstr>Potential extensions and editorials</vt:lpstr>
      <vt:lpstr>References</vt:lpstr>
    </vt:vector>
  </TitlesOfParts>
  <Company/>
  <LinksUpToDate>false</LinksUpToDate>
  <CharactersWithSpaces>6902</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2020-02-18T01:44:00Z</dcterms:created>
  <dcterms:modified xsi:type="dcterms:W3CDTF">2020-02-18T03:54:00Z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